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3DE91" w14:textId="77777777" w:rsidR="009E42F2" w:rsidRPr="00A839E7" w:rsidRDefault="009E42F2" w:rsidP="009E42F2">
      <w:pPr>
        <w:jc w:val="center"/>
        <w:rPr>
          <w:sz w:val="28"/>
          <w:szCs w:val="28"/>
        </w:rPr>
      </w:pPr>
    </w:p>
    <w:p w14:paraId="34DE1A12" w14:textId="77777777" w:rsidR="00F25D35" w:rsidRPr="00A839E7" w:rsidRDefault="007C28CC" w:rsidP="009E42F2">
      <w:pPr>
        <w:jc w:val="center"/>
        <w:rPr>
          <w:b/>
          <w:bCs/>
          <w:sz w:val="28"/>
          <w:szCs w:val="28"/>
        </w:rPr>
      </w:pPr>
      <w:r w:rsidRPr="00A839E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A2DC568" wp14:editId="18FACE32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B039F" w14:textId="77777777" w:rsidR="00F25D35" w:rsidRPr="00A839E7" w:rsidRDefault="00F25D35" w:rsidP="009E42F2">
      <w:pPr>
        <w:jc w:val="center"/>
        <w:rPr>
          <w:b/>
          <w:bCs/>
          <w:sz w:val="28"/>
          <w:szCs w:val="28"/>
        </w:rPr>
      </w:pPr>
    </w:p>
    <w:p w14:paraId="20E6D7DC" w14:textId="77777777" w:rsidR="00F25D35" w:rsidRPr="00A839E7" w:rsidRDefault="00F25D35" w:rsidP="009E42F2">
      <w:pPr>
        <w:jc w:val="center"/>
        <w:rPr>
          <w:b/>
          <w:bCs/>
          <w:sz w:val="28"/>
          <w:szCs w:val="28"/>
        </w:rPr>
      </w:pPr>
    </w:p>
    <w:p w14:paraId="25CB5E5D" w14:textId="77777777" w:rsidR="002B0583" w:rsidRPr="00A839E7" w:rsidRDefault="002B0583" w:rsidP="005714D2">
      <w:pPr>
        <w:jc w:val="center"/>
        <w:rPr>
          <w:b/>
          <w:bCs/>
          <w:sz w:val="28"/>
          <w:szCs w:val="28"/>
        </w:rPr>
      </w:pPr>
    </w:p>
    <w:p w14:paraId="52F3D861" w14:textId="77777777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  <w:r w:rsidRPr="00A839E7">
        <w:rPr>
          <w:b/>
          <w:bCs/>
          <w:sz w:val="28"/>
          <w:szCs w:val="28"/>
        </w:rPr>
        <w:t>КЕМЕРОВСКАЯ ОБЛАСТЬ-КУЗБАСС</w:t>
      </w:r>
    </w:p>
    <w:p w14:paraId="6FC0E9B0" w14:textId="77777777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  <w:r w:rsidRPr="00A839E7">
        <w:rPr>
          <w:b/>
          <w:bCs/>
          <w:sz w:val="28"/>
          <w:szCs w:val="28"/>
        </w:rPr>
        <w:t>МУНИЦИПАЛЬНОЕ ОБРАЗОВАНИЕ</w:t>
      </w:r>
    </w:p>
    <w:p w14:paraId="56D1E6B8" w14:textId="2377761B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  <w:r w:rsidRPr="00A839E7">
        <w:rPr>
          <w:b/>
          <w:bCs/>
          <w:sz w:val="28"/>
          <w:szCs w:val="28"/>
        </w:rPr>
        <w:t xml:space="preserve"> </w:t>
      </w:r>
      <w:r w:rsidR="002B0583" w:rsidRPr="00A839E7">
        <w:rPr>
          <w:b/>
          <w:bCs/>
          <w:sz w:val="28"/>
          <w:szCs w:val="28"/>
        </w:rPr>
        <w:t>«</w:t>
      </w:r>
      <w:r w:rsidRPr="00A839E7">
        <w:rPr>
          <w:b/>
          <w:bCs/>
          <w:sz w:val="28"/>
          <w:szCs w:val="28"/>
        </w:rPr>
        <w:t>ТАШТАГОЛЬСКИЙ МУНИЦИПАЛЬНЫЙ ОКРУГ</w:t>
      </w:r>
      <w:r w:rsidR="002B0583" w:rsidRPr="00A839E7">
        <w:rPr>
          <w:b/>
          <w:bCs/>
          <w:sz w:val="28"/>
          <w:szCs w:val="28"/>
        </w:rPr>
        <w:t>»</w:t>
      </w:r>
    </w:p>
    <w:p w14:paraId="4D8CFC55" w14:textId="77777777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  <w:r w:rsidRPr="00A839E7">
        <w:rPr>
          <w:b/>
          <w:bCs/>
          <w:sz w:val="28"/>
          <w:szCs w:val="28"/>
        </w:rPr>
        <w:t xml:space="preserve">СОВЕТ НАРОДНЫХ ДЕПУТАТОВ </w:t>
      </w:r>
    </w:p>
    <w:p w14:paraId="34B91A67" w14:textId="77777777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  <w:r w:rsidRPr="00A839E7">
        <w:rPr>
          <w:b/>
          <w:bCs/>
          <w:sz w:val="28"/>
          <w:szCs w:val="28"/>
        </w:rPr>
        <w:t xml:space="preserve">ТАШТАГОЛЬСКОГО МУНИЦИПАЛЬНОГО ОКРУГА </w:t>
      </w:r>
    </w:p>
    <w:p w14:paraId="3C36ACDF" w14:textId="77777777" w:rsidR="00056AC0" w:rsidRPr="00A839E7" w:rsidRDefault="00056AC0" w:rsidP="009E42F2">
      <w:pPr>
        <w:rPr>
          <w:sz w:val="28"/>
          <w:szCs w:val="28"/>
        </w:rPr>
      </w:pPr>
    </w:p>
    <w:p w14:paraId="507BE2B0" w14:textId="77777777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  <w:r w:rsidRPr="00A839E7">
        <w:rPr>
          <w:b/>
          <w:bCs/>
          <w:sz w:val="28"/>
          <w:szCs w:val="28"/>
        </w:rPr>
        <w:t>РЕШЕНИЕ</w:t>
      </w:r>
    </w:p>
    <w:p w14:paraId="3BB44CF5" w14:textId="77777777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</w:p>
    <w:p w14:paraId="0EF936BD" w14:textId="695F3A36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  <w:r w:rsidRPr="00A839E7">
        <w:rPr>
          <w:b/>
          <w:bCs/>
          <w:sz w:val="28"/>
          <w:szCs w:val="28"/>
        </w:rPr>
        <w:t>от «</w:t>
      </w:r>
      <w:r w:rsidR="001D0F05">
        <w:rPr>
          <w:b/>
          <w:bCs/>
          <w:sz w:val="28"/>
          <w:szCs w:val="28"/>
        </w:rPr>
        <w:t>25</w:t>
      </w:r>
      <w:r w:rsidRPr="00A839E7">
        <w:rPr>
          <w:b/>
          <w:bCs/>
          <w:sz w:val="28"/>
          <w:szCs w:val="28"/>
        </w:rPr>
        <w:t>»</w:t>
      </w:r>
      <w:r w:rsidR="00677AFB" w:rsidRPr="00A839E7">
        <w:rPr>
          <w:b/>
          <w:bCs/>
          <w:sz w:val="28"/>
          <w:szCs w:val="28"/>
        </w:rPr>
        <w:t xml:space="preserve"> </w:t>
      </w:r>
      <w:r w:rsidR="005575FE" w:rsidRPr="00A839E7">
        <w:rPr>
          <w:b/>
          <w:bCs/>
          <w:sz w:val="28"/>
          <w:szCs w:val="28"/>
        </w:rPr>
        <w:t xml:space="preserve">февраля </w:t>
      </w:r>
      <w:r w:rsidR="00677AFB" w:rsidRPr="00A839E7">
        <w:rPr>
          <w:b/>
          <w:bCs/>
          <w:sz w:val="28"/>
          <w:szCs w:val="28"/>
        </w:rPr>
        <w:t xml:space="preserve"> 2026</w:t>
      </w:r>
      <w:r w:rsidRPr="00A839E7">
        <w:rPr>
          <w:b/>
          <w:bCs/>
          <w:sz w:val="28"/>
          <w:szCs w:val="28"/>
        </w:rPr>
        <w:t xml:space="preserve"> года №</w:t>
      </w:r>
      <w:r w:rsidR="002B0583" w:rsidRPr="00A839E7">
        <w:rPr>
          <w:b/>
          <w:bCs/>
          <w:sz w:val="28"/>
          <w:szCs w:val="28"/>
        </w:rPr>
        <w:t xml:space="preserve"> </w:t>
      </w:r>
      <w:r w:rsidR="001D0F05">
        <w:rPr>
          <w:b/>
          <w:bCs/>
          <w:sz w:val="28"/>
          <w:szCs w:val="28"/>
        </w:rPr>
        <w:t>120</w:t>
      </w:r>
      <w:r w:rsidR="006C534B" w:rsidRPr="00A839E7">
        <w:rPr>
          <w:b/>
          <w:bCs/>
          <w:sz w:val="28"/>
          <w:szCs w:val="28"/>
        </w:rPr>
        <w:t>-</w:t>
      </w:r>
      <w:r w:rsidRPr="00A839E7">
        <w:rPr>
          <w:b/>
          <w:bCs/>
          <w:sz w:val="28"/>
          <w:szCs w:val="28"/>
        </w:rPr>
        <w:t>рр</w:t>
      </w:r>
    </w:p>
    <w:p w14:paraId="09B59B13" w14:textId="77777777" w:rsidR="005714D2" w:rsidRPr="00A839E7" w:rsidRDefault="005714D2" w:rsidP="005714D2">
      <w:pPr>
        <w:jc w:val="center"/>
        <w:rPr>
          <w:b/>
          <w:bCs/>
          <w:sz w:val="28"/>
          <w:szCs w:val="28"/>
        </w:rPr>
      </w:pPr>
    </w:p>
    <w:p w14:paraId="170AD40A" w14:textId="77777777" w:rsidR="005714D2" w:rsidRPr="00A839E7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r w:rsidRPr="00A839E7">
        <w:rPr>
          <w:b w:val="0"/>
          <w:sz w:val="28"/>
          <w:szCs w:val="28"/>
        </w:rPr>
        <w:t>Принято Советом народных депутатов</w:t>
      </w:r>
    </w:p>
    <w:p w14:paraId="15753696" w14:textId="77777777" w:rsidR="005714D2" w:rsidRPr="00A839E7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proofErr w:type="spellStart"/>
      <w:r w:rsidRPr="00A839E7">
        <w:rPr>
          <w:b w:val="0"/>
          <w:sz w:val="28"/>
          <w:szCs w:val="28"/>
        </w:rPr>
        <w:t>Таштагольского</w:t>
      </w:r>
      <w:proofErr w:type="spellEnd"/>
      <w:r w:rsidRPr="00A839E7">
        <w:rPr>
          <w:b w:val="0"/>
          <w:sz w:val="28"/>
          <w:szCs w:val="28"/>
        </w:rPr>
        <w:t xml:space="preserve"> муниципального округа</w:t>
      </w:r>
    </w:p>
    <w:p w14:paraId="4CBBDFC0" w14:textId="5EBFDE09" w:rsidR="005714D2" w:rsidRPr="00A839E7" w:rsidRDefault="001D0F05" w:rsidP="00571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25</w:t>
      </w:r>
      <w:r w:rsidR="00F0397F" w:rsidRPr="00A839E7">
        <w:rPr>
          <w:sz w:val="28"/>
          <w:szCs w:val="28"/>
        </w:rPr>
        <w:t xml:space="preserve"> </w:t>
      </w:r>
      <w:r w:rsidR="005575FE" w:rsidRPr="00A839E7">
        <w:rPr>
          <w:sz w:val="28"/>
          <w:szCs w:val="28"/>
        </w:rPr>
        <w:t xml:space="preserve">февраля </w:t>
      </w:r>
      <w:r w:rsidR="002B0583" w:rsidRPr="00A839E7">
        <w:rPr>
          <w:sz w:val="28"/>
          <w:szCs w:val="28"/>
        </w:rPr>
        <w:t>202</w:t>
      </w:r>
      <w:r w:rsidR="00677AFB" w:rsidRPr="00A839E7">
        <w:rPr>
          <w:sz w:val="28"/>
          <w:szCs w:val="28"/>
        </w:rPr>
        <w:t>6</w:t>
      </w:r>
      <w:r w:rsidR="005714D2" w:rsidRPr="00A839E7">
        <w:rPr>
          <w:sz w:val="28"/>
          <w:szCs w:val="28"/>
        </w:rPr>
        <w:t xml:space="preserve"> года</w:t>
      </w:r>
    </w:p>
    <w:p w14:paraId="5E83989F" w14:textId="77777777" w:rsidR="00F9471A" w:rsidRPr="00A839E7" w:rsidRDefault="00F9471A" w:rsidP="004C623A">
      <w:pPr>
        <w:pStyle w:val="a3"/>
        <w:jc w:val="right"/>
        <w:rPr>
          <w:sz w:val="28"/>
          <w:szCs w:val="28"/>
        </w:rPr>
      </w:pPr>
    </w:p>
    <w:p w14:paraId="7982FDB9" w14:textId="77777777" w:rsidR="004C623A" w:rsidRPr="00A839E7" w:rsidRDefault="00DD30F3" w:rsidP="00DD30F3">
      <w:pPr>
        <w:pStyle w:val="a3"/>
        <w:tabs>
          <w:tab w:val="left" w:pos="4275"/>
        </w:tabs>
        <w:jc w:val="left"/>
        <w:rPr>
          <w:b w:val="0"/>
          <w:sz w:val="28"/>
          <w:szCs w:val="28"/>
        </w:rPr>
      </w:pPr>
      <w:r w:rsidRPr="00A839E7">
        <w:rPr>
          <w:b w:val="0"/>
          <w:sz w:val="28"/>
          <w:szCs w:val="28"/>
        </w:rPr>
        <w:tab/>
      </w:r>
    </w:p>
    <w:p w14:paraId="5243EBBB" w14:textId="7E410C4A" w:rsidR="00E84BF4" w:rsidRPr="00A839E7" w:rsidRDefault="005575FE" w:rsidP="00E84BF4">
      <w:pPr>
        <w:jc w:val="center"/>
        <w:rPr>
          <w:b/>
          <w:sz w:val="28"/>
          <w:szCs w:val="28"/>
        </w:rPr>
      </w:pPr>
      <w:r w:rsidRPr="00A839E7">
        <w:rPr>
          <w:b/>
          <w:sz w:val="28"/>
          <w:szCs w:val="28"/>
        </w:rPr>
        <w:t>Об отчёте Контрольн</w:t>
      </w:r>
      <w:proofErr w:type="gramStart"/>
      <w:r w:rsidRPr="00A839E7">
        <w:rPr>
          <w:b/>
          <w:sz w:val="28"/>
          <w:szCs w:val="28"/>
        </w:rPr>
        <w:t>о-</w:t>
      </w:r>
      <w:proofErr w:type="gramEnd"/>
      <w:r w:rsidRPr="00A839E7">
        <w:rPr>
          <w:b/>
          <w:sz w:val="28"/>
          <w:szCs w:val="28"/>
        </w:rPr>
        <w:t xml:space="preserve"> счетной комиссии </w:t>
      </w:r>
      <w:proofErr w:type="spellStart"/>
      <w:r w:rsidRPr="00A839E7">
        <w:rPr>
          <w:b/>
          <w:sz w:val="28"/>
          <w:szCs w:val="28"/>
        </w:rPr>
        <w:t>Таштагольского</w:t>
      </w:r>
      <w:proofErr w:type="spellEnd"/>
      <w:r w:rsidRPr="00A839E7">
        <w:rPr>
          <w:b/>
          <w:sz w:val="28"/>
          <w:szCs w:val="28"/>
        </w:rPr>
        <w:t xml:space="preserve"> муниципального округа за 2025 год</w:t>
      </w:r>
    </w:p>
    <w:p w14:paraId="22714285" w14:textId="77777777" w:rsidR="00D33461" w:rsidRDefault="00D33461" w:rsidP="00E84BF4">
      <w:pPr>
        <w:jc w:val="center"/>
        <w:rPr>
          <w:b/>
          <w:sz w:val="28"/>
          <w:szCs w:val="28"/>
        </w:rPr>
      </w:pPr>
    </w:p>
    <w:p w14:paraId="0C9376F6" w14:textId="77777777" w:rsidR="00A839E7" w:rsidRPr="00A839E7" w:rsidRDefault="00A839E7" w:rsidP="00E84BF4">
      <w:pPr>
        <w:jc w:val="center"/>
        <w:rPr>
          <w:b/>
          <w:sz w:val="28"/>
          <w:szCs w:val="28"/>
        </w:rPr>
      </w:pPr>
    </w:p>
    <w:p w14:paraId="3573C473" w14:textId="38DB12E5" w:rsidR="005714D2" w:rsidRPr="00A839E7" w:rsidRDefault="005575FE" w:rsidP="00F0397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статьями 265 Бюджетного Кодекса РФ, статьей 24 Федерального закона от 20.03.2025 № 33-ФЗ «Об общих принципах организации местного самоуправления в единой системе публичной власти», Уставом </w:t>
      </w:r>
      <w:r w:rsidR="00A44270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«</w:t>
      </w:r>
      <w:proofErr w:type="spellStart"/>
      <w:r w:rsidR="00A44270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Таштагольский</w:t>
      </w:r>
      <w:proofErr w:type="spellEnd"/>
      <w:r w:rsidR="00A44270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округ Кемеровской области </w:t>
      </w:r>
      <w:r w:rsidR="001D0F0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44270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Кузбасса», решением Совета народных депутатов </w:t>
      </w:r>
      <w:proofErr w:type="spellStart"/>
      <w:r w:rsidR="00A44270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Таштагольского</w:t>
      </w:r>
      <w:proofErr w:type="spellEnd"/>
      <w:r w:rsidR="00A44270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от 25.09.</w:t>
      </w:r>
      <w:r w:rsidR="006255C2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2025 № 24-рр</w:t>
      </w:r>
      <w:r w:rsidR="00D33461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переименовании контрольно-счетной комиссии </w:t>
      </w:r>
      <w:proofErr w:type="spellStart"/>
      <w:r w:rsidR="00D33461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Таштагольского</w:t>
      </w:r>
      <w:proofErr w:type="spellEnd"/>
      <w:r w:rsidR="00D33461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и утверждении положения «О контрольно-счетной комиссии </w:t>
      </w:r>
      <w:proofErr w:type="spellStart"/>
      <w:r w:rsidR="00D33461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Таштагольского</w:t>
      </w:r>
      <w:proofErr w:type="spellEnd"/>
      <w:r w:rsidR="00D33461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округа»</w:t>
      </w:r>
      <w:r w:rsidR="006255C2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0397F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Совет</w:t>
      </w:r>
      <w:proofErr w:type="gramEnd"/>
      <w:r w:rsidR="00F0397F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народных депутатов </w:t>
      </w:r>
      <w:proofErr w:type="spellStart"/>
      <w:r w:rsidR="00F0397F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Таштагольского</w:t>
      </w:r>
      <w:proofErr w:type="spellEnd"/>
      <w:r w:rsidR="00F0397F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625350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397F" w:rsidRPr="00A839E7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</w:p>
    <w:p w14:paraId="35444605" w14:textId="77777777" w:rsidR="00625350" w:rsidRDefault="00625350" w:rsidP="00F03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80D22C" w14:textId="77777777" w:rsidR="002A0BA3" w:rsidRPr="00A839E7" w:rsidRDefault="002A0BA3" w:rsidP="00F03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3F0A48" w14:textId="77777777" w:rsidR="004C623A" w:rsidRPr="00A839E7" w:rsidRDefault="004C623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839E7">
        <w:rPr>
          <w:b/>
          <w:sz w:val="28"/>
          <w:szCs w:val="28"/>
        </w:rPr>
        <w:t>РЕШИЛ:</w:t>
      </w:r>
    </w:p>
    <w:p w14:paraId="687A252D" w14:textId="77777777" w:rsidR="00E11E2A" w:rsidRDefault="00E11E2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2B4A98FB" w14:textId="723FFEAA" w:rsidR="001B4DEC" w:rsidRPr="00A839E7" w:rsidRDefault="005F451A" w:rsidP="005B2EEE">
      <w:pPr>
        <w:jc w:val="both"/>
        <w:rPr>
          <w:sz w:val="28"/>
          <w:szCs w:val="28"/>
        </w:rPr>
      </w:pPr>
      <w:r w:rsidRPr="00A839E7">
        <w:rPr>
          <w:sz w:val="28"/>
          <w:szCs w:val="28"/>
        </w:rPr>
        <w:t xml:space="preserve">     </w:t>
      </w:r>
      <w:r w:rsidR="00F0397F" w:rsidRPr="00A839E7">
        <w:rPr>
          <w:sz w:val="28"/>
          <w:szCs w:val="28"/>
        </w:rPr>
        <w:t xml:space="preserve">   </w:t>
      </w:r>
      <w:r w:rsidRPr="00A839E7">
        <w:rPr>
          <w:sz w:val="28"/>
          <w:szCs w:val="28"/>
        </w:rPr>
        <w:t xml:space="preserve"> </w:t>
      </w:r>
      <w:r w:rsidR="004C623A" w:rsidRPr="00A839E7">
        <w:rPr>
          <w:sz w:val="28"/>
          <w:szCs w:val="28"/>
        </w:rPr>
        <w:t xml:space="preserve">1. </w:t>
      </w:r>
      <w:r w:rsidR="00D33461" w:rsidRPr="00A839E7">
        <w:rPr>
          <w:sz w:val="28"/>
          <w:szCs w:val="28"/>
        </w:rPr>
        <w:t>Принять к сведению отчет о деятельности</w:t>
      </w:r>
      <w:proofErr w:type="gramStart"/>
      <w:r w:rsidR="00D33461" w:rsidRPr="00A839E7">
        <w:rPr>
          <w:sz w:val="28"/>
          <w:szCs w:val="28"/>
        </w:rPr>
        <w:t xml:space="preserve"> </w:t>
      </w:r>
      <w:proofErr w:type="spellStart"/>
      <w:r w:rsidR="00D33461" w:rsidRPr="00A839E7">
        <w:rPr>
          <w:sz w:val="28"/>
          <w:szCs w:val="28"/>
        </w:rPr>
        <w:t>К</w:t>
      </w:r>
      <w:proofErr w:type="gramEnd"/>
      <w:r w:rsidR="00D33461" w:rsidRPr="00A839E7">
        <w:rPr>
          <w:sz w:val="28"/>
          <w:szCs w:val="28"/>
        </w:rPr>
        <w:t>онтрольно</w:t>
      </w:r>
      <w:proofErr w:type="spellEnd"/>
      <w:r w:rsidR="00D33461" w:rsidRPr="00A839E7">
        <w:rPr>
          <w:sz w:val="28"/>
          <w:szCs w:val="28"/>
        </w:rPr>
        <w:t xml:space="preserve"> </w:t>
      </w:r>
      <w:r w:rsidR="001D0F05">
        <w:rPr>
          <w:sz w:val="28"/>
          <w:szCs w:val="28"/>
        </w:rPr>
        <w:t xml:space="preserve">- </w:t>
      </w:r>
      <w:r w:rsidR="00D33461" w:rsidRPr="00A839E7">
        <w:rPr>
          <w:sz w:val="28"/>
          <w:szCs w:val="28"/>
        </w:rPr>
        <w:t xml:space="preserve">счетной комиссии </w:t>
      </w:r>
      <w:proofErr w:type="spellStart"/>
      <w:r w:rsidR="00D33461" w:rsidRPr="00A839E7">
        <w:rPr>
          <w:sz w:val="28"/>
          <w:szCs w:val="28"/>
        </w:rPr>
        <w:t>Таштагольского</w:t>
      </w:r>
      <w:proofErr w:type="spellEnd"/>
      <w:r w:rsidR="00D33461" w:rsidRPr="00A839E7">
        <w:rPr>
          <w:sz w:val="28"/>
          <w:szCs w:val="28"/>
        </w:rPr>
        <w:t xml:space="preserve"> муниципального округа за 2025 год</w:t>
      </w:r>
      <w:r w:rsidR="001D0F05">
        <w:rPr>
          <w:sz w:val="28"/>
          <w:szCs w:val="28"/>
        </w:rPr>
        <w:t xml:space="preserve"> </w:t>
      </w:r>
      <w:r w:rsidR="007360B7" w:rsidRPr="00A839E7">
        <w:rPr>
          <w:sz w:val="28"/>
          <w:szCs w:val="28"/>
        </w:rPr>
        <w:t>согласно приложению к настоящему решению.</w:t>
      </w:r>
    </w:p>
    <w:p w14:paraId="67DB98C4" w14:textId="70D469EB" w:rsidR="00EC23D0" w:rsidRPr="00A839E7" w:rsidRDefault="00EC23D0" w:rsidP="00424AC3">
      <w:pPr>
        <w:tabs>
          <w:tab w:val="left" w:pos="0"/>
        </w:tabs>
        <w:jc w:val="both"/>
        <w:rPr>
          <w:sz w:val="28"/>
          <w:szCs w:val="28"/>
        </w:rPr>
      </w:pPr>
      <w:r w:rsidRPr="00A839E7">
        <w:rPr>
          <w:sz w:val="28"/>
          <w:szCs w:val="28"/>
        </w:rPr>
        <w:t xml:space="preserve">         2.</w:t>
      </w:r>
      <w:r w:rsidR="00D33461" w:rsidRPr="00A839E7">
        <w:rPr>
          <w:sz w:val="28"/>
          <w:szCs w:val="28"/>
        </w:rPr>
        <w:t xml:space="preserve"> Опубликовать н</w:t>
      </w:r>
      <w:r w:rsidRPr="00A839E7">
        <w:rPr>
          <w:sz w:val="28"/>
          <w:szCs w:val="28"/>
        </w:rPr>
        <w:t xml:space="preserve">астоящее решение  в газете «Красная </w:t>
      </w:r>
      <w:proofErr w:type="spellStart"/>
      <w:r w:rsidRPr="00A839E7">
        <w:rPr>
          <w:sz w:val="28"/>
          <w:szCs w:val="28"/>
        </w:rPr>
        <w:t>Шория</w:t>
      </w:r>
      <w:proofErr w:type="spellEnd"/>
      <w:r w:rsidRPr="00A839E7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A839E7">
        <w:rPr>
          <w:sz w:val="28"/>
          <w:szCs w:val="28"/>
        </w:rPr>
        <w:t>Таштагольского</w:t>
      </w:r>
      <w:proofErr w:type="spellEnd"/>
      <w:r w:rsidRPr="00A839E7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14:paraId="349D4A7F" w14:textId="1614511C" w:rsidR="004C623A" w:rsidRPr="00A839E7" w:rsidRDefault="00F25D35" w:rsidP="00D33461">
      <w:pPr>
        <w:tabs>
          <w:tab w:val="left" w:pos="0"/>
        </w:tabs>
        <w:jc w:val="both"/>
        <w:rPr>
          <w:sz w:val="28"/>
          <w:szCs w:val="28"/>
        </w:rPr>
      </w:pPr>
      <w:r w:rsidRPr="00A839E7">
        <w:rPr>
          <w:sz w:val="28"/>
          <w:szCs w:val="28"/>
        </w:rPr>
        <w:lastRenderedPageBreak/>
        <w:t xml:space="preserve"> </w:t>
      </w:r>
      <w:r w:rsidR="00424AC3" w:rsidRPr="00A839E7">
        <w:rPr>
          <w:sz w:val="28"/>
          <w:szCs w:val="28"/>
        </w:rPr>
        <w:t xml:space="preserve">        </w:t>
      </w:r>
      <w:r w:rsidR="001B4DEC" w:rsidRPr="00A839E7">
        <w:rPr>
          <w:sz w:val="28"/>
          <w:szCs w:val="28"/>
        </w:rPr>
        <w:t>3</w:t>
      </w:r>
      <w:r w:rsidR="00424AC3" w:rsidRPr="00A839E7">
        <w:rPr>
          <w:sz w:val="28"/>
          <w:szCs w:val="28"/>
        </w:rPr>
        <w:t>.</w:t>
      </w:r>
      <w:r w:rsidR="00181DDD" w:rsidRPr="00A839E7">
        <w:rPr>
          <w:sz w:val="28"/>
          <w:szCs w:val="28"/>
        </w:rPr>
        <w:t xml:space="preserve"> </w:t>
      </w:r>
      <w:r w:rsidR="00A210D2" w:rsidRPr="00A839E7">
        <w:rPr>
          <w:sz w:val="28"/>
          <w:szCs w:val="28"/>
        </w:rPr>
        <w:t xml:space="preserve">Настоящее решение вступает в силу </w:t>
      </w:r>
      <w:proofErr w:type="gramStart"/>
      <w:r w:rsidR="00571F27" w:rsidRPr="00A839E7">
        <w:rPr>
          <w:sz w:val="28"/>
          <w:szCs w:val="28"/>
          <w:lang w:val="en-US"/>
        </w:rPr>
        <w:t>c</w:t>
      </w:r>
      <w:proofErr w:type="gramEnd"/>
      <w:r w:rsidR="00D33461" w:rsidRPr="00A839E7">
        <w:rPr>
          <w:sz w:val="28"/>
          <w:szCs w:val="28"/>
        </w:rPr>
        <w:t xml:space="preserve">о дня его принятия. </w:t>
      </w:r>
    </w:p>
    <w:p w14:paraId="113FC002" w14:textId="77777777" w:rsidR="00146888" w:rsidRPr="00A839E7" w:rsidRDefault="00146888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0265E20" w14:textId="77777777" w:rsidR="00A839E7" w:rsidRDefault="00A839E7" w:rsidP="006C534B">
      <w:pPr>
        <w:rPr>
          <w:sz w:val="28"/>
          <w:szCs w:val="28"/>
        </w:rPr>
      </w:pPr>
    </w:p>
    <w:p w14:paraId="55B5C658" w14:textId="77777777" w:rsidR="006C534B" w:rsidRPr="00A839E7" w:rsidRDefault="006C534B" w:rsidP="006C534B">
      <w:pPr>
        <w:rPr>
          <w:sz w:val="28"/>
          <w:szCs w:val="28"/>
        </w:rPr>
      </w:pPr>
      <w:r w:rsidRPr="00A839E7">
        <w:rPr>
          <w:sz w:val="28"/>
          <w:szCs w:val="28"/>
        </w:rPr>
        <w:t xml:space="preserve">Председатель Совета народных депутатов </w:t>
      </w:r>
    </w:p>
    <w:p w14:paraId="398711F5" w14:textId="3A98370E" w:rsidR="006C534B" w:rsidRPr="00A839E7" w:rsidRDefault="006C534B" w:rsidP="006C534B">
      <w:pPr>
        <w:rPr>
          <w:sz w:val="28"/>
          <w:szCs w:val="28"/>
        </w:rPr>
      </w:pPr>
      <w:proofErr w:type="spellStart"/>
      <w:r w:rsidRPr="00A839E7">
        <w:rPr>
          <w:sz w:val="28"/>
          <w:szCs w:val="28"/>
        </w:rPr>
        <w:t>Таштагольского</w:t>
      </w:r>
      <w:proofErr w:type="spellEnd"/>
      <w:r w:rsidRPr="00A839E7">
        <w:rPr>
          <w:sz w:val="28"/>
          <w:szCs w:val="28"/>
        </w:rPr>
        <w:t xml:space="preserve"> муниципального округа                                </w:t>
      </w:r>
      <w:r w:rsidR="00D33461" w:rsidRPr="00A839E7">
        <w:rPr>
          <w:sz w:val="28"/>
          <w:szCs w:val="28"/>
        </w:rPr>
        <w:t xml:space="preserve"> </w:t>
      </w:r>
      <w:r w:rsidRPr="00A839E7">
        <w:rPr>
          <w:sz w:val="28"/>
          <w:szCs w:val="28"/>
        </w:rPr>
        <w:t xml:space="preserve"> А.А. Путинцев </w:t>
      </w:r>
    </w:p>
    <w:p w14:paraId="22956291" w14:textId="77777777" w:rsidR="00F0397F" w:rsidRPr="00A839E7" w:rsidRDefault="00F0397F" w:rsidP="006C534B">
      <w:pPr>
        <w:rPr>
          <w:sz w:val="28"/>
          <w:szCs w:val="28"/>
        </w:rPr>
      </w:pPr>
    </w:p>
    <w:p w14:paraId="57F3285F" w14:textId="77777777" w:rsidR="00F0397F" w:rsidRPr="00A839E7" w:rsidRDefault="00F0397F" w:rsidP="006C534B">
      <w:pPr>
        <w:rPr>
          <w:sz w:val="28"/>
          <w:szCs w:val="28"/>
        </w:rPr>
      </w:pPr>
    </w:p>
    <w:p w14:paraId="63099B7A" w14:textId="4FF1C5C1" w:rsidR="00F0397F" w:rsidRPr="00A839E7" w:rsidRDefault="00D33461" w:rsidP="006C534B">
      <w:pPr>
        <w:rPr>
          <w:sz w:val="28"/>
          <w:szCs w:val="28"/>
        </w:rPr>
      </w:pPr>
      <w:proofErr w:type="spellStart"/>
      <w:r w:rsidRPr="00A839E7">
        <w:rPr>
          <w:sz w:val="28"/>
          <w:szCs w:val="28"/>
        </w:rPr>
        <w:t>Врип</w:t>
      </w:r>
      <w:proofErr w:type="spellEnd"/>
      <w:r w:rsidRPr="00A839E7">
        <w:rPr>
          <w:sz w:val="28"/>
          <w:szCs w:val="28"/>
        </w:rPr>
        <w:t xml:space="preserve"> </w:t>
      </w:r>
      <w:r w:rsidR="00C10826">
        <w:rPr>
          <w:sz w:val="28"/>
          <w:szCs w:val="28"/>
        </w:rPr>
        <w:t>Г</w:t>
      </w:r>
      <w:r w:rsidR="00F0397F" w:rsidRPr="00A839E7">
        <w:rPr>
          <w:sz w:val="28"/>
          <w:szCs w:val="28"/>
        </w:rPr>
        <w:t>лав</w:t>
      </w:r>
      <w:r w:rsidRPr="00A839E7">
        <w:rPr>
          <w:sz w:val="28"/>
          <w:szCs w:val="28"/>
        </w:rPr>
        <w:t>ы</w:t>
      </w:r>
      <w:r w:rsidR="00F0397F" w:rsidRPr="00A839E7">
        <w:rPr>
          <w:sz w:val="28"/>
          <w:szCs w:val="28"/>
        </w:rPr>
        <w:t xml:space="preserve"> </w:t>
      </w:r>
      <w:proofErr w:type="spellStart"/>
      <w:r w:rsidR="00F0397F" w:rsidRPr="00A839E7">
        <w:rPr>
          <w:sz w:val="28"/>
          <w:szCs w:val="28"/>
        </w:rPr>
        <w:t>Таштагольского</w:t>
      </w:r>
      <w:proofErr w:type="spellEnd"/>
      <w:r w:rsidR="00F0397F" w:rsidRPr="00A839E7">
        <w:rPr>
          <w:sz w:val="28"/>
          <w:szCs w:val="28"/>
        </w:rPr>
        <w:t xml:space="preserve"> </w:t>
      </w:r>
    </w:p>
    <w:p w14:paraId="029E938E" w14:textId="19508C05" w:rsidR="00F0397F" w:rsidRPr="00A839E7" w:rsidRDefault="00F0397F" w:rsidP="006C534B">
      <w:pPr>
        <w:rPr>
          <w:sz w:val="28"/>
          <w:szCs w:val="28"/>
        </w:rPr>
      </w:pPr>
      <w:r w:rsidRPr="00A839E7">
        <w:rPr>
          <w:sz w:val="28"/>
          <w:szCs w:val="28"/>
        </w:rPr>
        <w:t xml:space="preserve">муниципального округа                                                               </w:t>
      </w:r>
      <w:r w:rsidR="00D33461" w:rsidRPr="00A839E7">
        <w:rPr>
          <w:sz w:val="28"/>
          <w:szCs w:val="28"/>
        </w:rPr>
        <w:t xml:space="preserve">В.С. </w:t>
      </w:r>
      <w:proofErr w:type="spellStart"/>
      <w:r w:rsidR="00D33461" w:rsidRPr="00A839E7">
        <w:rPr>
          <w:sz w:val="28"/>
          <w:szCs w:val="28"/>
        </w:rPr>
        <w:t>Швайгерт</w:t>
      </w:r>
      <w:proofErr w:type="spellEnd"/>
      <w:r w:rsidRPr="00A839E7">
        <w:rPr>
          <w:sz w:val="28"/>
          <w:szCs w:val="28"/>
        </w:rPr>
        <w:t xml:space="preserve"> </w:t>
      </w:r>
    </w:p>
    <w:p w14:paraId="0DC8C4BD" w14:textId="77777777" w:rsidR="004B7A5A" w:rsidRPr="00A839E7" w:rsidRDefault="004B7A5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A304D3E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A102168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7DE8379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E6699FD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12E615D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B5A20B4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BA54CDD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F82B252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3FFCD55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774EBAD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B8235B9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D53C6F0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20398A9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F04836E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B32EC5A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BA206EB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1F0577C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C592264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28910FF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F5DE919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0C40B46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BF12FD5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EC4C916" w14:textId="77777777" w:rsidR="00EB7DD5" w:rsidRPr="00A839E7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E630824" w14:textId="77777777" w:rsidR="00E11E2A" w:rsidRPr="00A839E7" w:rsidRDefault="00E11E2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83C1AEE" w14:textId="77777777" w:rsidR="001B4DEC" w:rsidRPr="00A839E7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4E1EBBD" w14:textId="77777777" w:rsidR="001B4DEC" w:rsidRPr="00A839E7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A1D6BE2" w14:textId="77777777" w:rsidR="001B4DEC" w:rsidRPr="00A839E7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5C075C0" w14:textId="77777777" w:rsidR="00B0703B" w:rsidRPr="00A839E7" w:rsidRDefault="00B0703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3720683" w14:textId="77777777" w:rsidR="00B0703B" w:rsidRPr="00A839E7" w:rsidRDefault="00B0703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870BF89" w14:textId="77777777" w:rsidR="006C534B" w:rsidRPr="00A839E7" w:rsidRDefault="006C534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870AC7C" w14:textId="77777777" w:rsidR="008D5262" w:rsidRPr="00A839E7" w:rsidRDefault="008D5262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595CFFC" w14:textId="77777777" w:rsidR="008D5262" w:rsidRPr="00A839E7" w:rsidRDefault="008D5262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07B3327" w14:textId="77777777" w:rsidR="00A839E7" w:rsidRPr="00A839E7" w:rsidRDefault="00A839E7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1661976" w14:textId="77777777" w:rsidR="00A839E7" w:rsidRPr="00A839E7" w:rsidRDefault="00A839E7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824F0F7" w14:textId="1C78672D" w:rsidR="00ED50D3" w:rsidRPr="00A839E7" w:rsidRDefault="00ED50D3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839E7">
        <w:rPr>
          <w:sz w:val="28"/>
          <w:szCs w:val="28"/>
        </w:rPr>
        <w:lastRenderedPageBreak/>
        <w:t xml:space="preserve">Приложение  к решению </w:t>
      </w:r>
    </w:p>
    <w:p w14:paraId="7C3CFFA1" w14:textId="77777777" w:rsidR="00ED50D3" w:rsidRPr="00A839E7" w:rsidRDefault="00ED50D3" w:rsidP="00ED50D3">
      <w:pPr>
        <w:jc w:val="right"/>
        <w:rPr>
          <w:sz w:val="28"/>
          <w:szCs w:val="28"/>
        </w:rPr>
      </w:pPr>
      <w:r w:rsidRPr="00A839E7">
        <w:rPr>
          <w:sz w:val="28"/>
          <w:szCs w:val="28"/>
        </w:rPr>
        <w:t>Совета</w:t>
      </w:r>
      <w:r w:rsidR="003D6292" w:rsidRPr="00A839E7">
        <w:rPr>
          <w:sz w:val="28"/>
          <w:szCs w:val="28"/>
        </w:rPr>
        <w:t xml:space="preserve"> народных депутатов</w:t>
      </w:r>
    </w:p>
    <w:p w14:paraId="4B27C3C4" w14:textId="77777777" w:rsidR="002B5AAC" w:rsidRPr="00A839E7" w:rsidRDefault="009E42F2" w:rsidP="00ED50D3">
      <w:pPr>
        <w:jc w:val="right"/>
        <w:rPr>
          <w:sz w:val="28"/>
          <w:szCs w:val="28"/>
        </w:rPr>
      </w:pPr>
      <w:r w:rsidRPr="00A839E7">
        <w:rPr>
          <w:sz w:val="28"/>
          <w:szCs w:val="28"/>
        </w:rPr>
        <w:t xml:space="preserve"> </w:t>
      </w:r>
      <w:proofErr w:type="spellStart"/>
      <w:r w:rsidRPr="00A839E7">
        <w:rPr>
          <w:sz w:val="28"/>
          <w:szCs w:val="28"/>
        </w:rPr>
        <w:t>Ташт</w:t>
      </w:r>
      <w:r w:rsidR="00B90E96" w:rsidRPr="00A839E7">
        <w:rPr>
          <w:sz w:val="28"/>
          <w:szCs w:val="28"/>
        </w:rPr>
        <w:t>агольского</w:t>
      </w:r>
      <w:proofErr w:type="spellEnd"/>
      <w:r w:rsidR="00B90E96" w:rsidRPr="00A839E7">
        <w:rPr>
          <w:sz w:val="28"/>
          <w:szCs w:val="28"/>
        </w:rPr>
        <w:t xml:space="preserve"> муниципального округа</w:t>
      </w:r>
    </w:p>
    <w:p w14:paraId="4F8E0ED8" w14:textId="17367BB2" w:rsidR="00ED50D3" w:rsidRPr="00A839E7" w:rsidRDefault="00B90E96" w:rsidP="00ED50D3">
      <w:pPr>
        <w:jc w:val="right"/>
        <w:rPr>
          <w:sz w:val="28"/>
          <w:szCs w:val="28"/>
        </w:rPr>
      </w:pPr>
      <w:r w:rsidRPr="00A839E7">
        <w:rPr>
          <w:sz w:val="28"/>
          <w:szCs w:val="28"/>
        </w:rPr>
        <w:t xml:space="preserve">от </w:t>
      </w:r>
      <w:r w:rsidR="00A839E7" w:rsidRPr="00A839E7">
        <w:rPr>
          <w:sz w:val="28"/>
          <w:szCs w:val="28"/>
        </w:rPr>
        <w:t xml:space="preserve"> </w:t>
      </w:r>
      <w:r w:rsidR="001D0F05">
        <w:rPr>
          <w:sz w:val="28"/>
          <w:szCs w:val="28"/>
        </w:rPr>
        <w:t>25</w:t>
      </w:r>
      <w:r w:rsidR="00C10826">
        <w:rPr>
          <w:sz w:val="28"/>
          <w:szCs w:val="28"/>
        </w:rPr>
        <w:t>.02.</w:t>
      </w:r>
      <w:r w:rsidR="002B0583" w:rsidRPr="00A839E7">
        <w:rPr>
          <w:sz w:val="28"/>
          <w:szCs w:val="28"/>
        </w:rPr>
        <w:t xml:space="preserve">2026 </w:t>
      </w:r>
      <w:bookmarkStart w:id="0" w:name="_GoBack"/>
      <w:bookmarkEnd w:id="0"/>
      <w:r w:rsidR="002B12C2" w:rsidRPr="00A839E7">
        <w:rPr>
          <w:sz w:val="28"/>
          <w:szCs w:val="28"/>
        </w:rPr>
        <w:t>№</w:t>
      </w:r>
      <w:r w:rsidR="00F525E2" w:rsidRPr="00A839E7">
        <w:rPr>
          <w:sz w:val="28"/>
          <w:szCs w:val="28"/>
        </w:rPr>
        <w:t xml:space="preserve"> </w:t>
      </w:r>
      <w:r w:rsidR="001D0F05">
        <w:rPr>
          <w:sz w:val="28"/>
          <w:szCs w:val="28"/>
        </w:rPr>
        <w:t>120</w:t>
      </w:r>
      <w:r w:rsidR="002B12C2" w:rsidRPr="00A839E7">
        <w:rPr>
          <w:sz w:val="28"/>
          <w:szCs w:val="28"/>
        </w:rPr>
        <w:t>-рр</w:t>
      </w:r>
    </w:p>
    <w:p w14:paraId="17DC49BD" w14:textId="77777777" w:rsidR="00056AC0" w:rsidRPr="00A839E7" w:rsidRDefault="00056AC0" w:rsidP="00ED50D3">
      <w:pPr>
        <w:jc w:val="right"/>
        <w:rPr>
          <w:sz w:val="28"/>
          <w:szCs w:val="28"/>
        </w:rPr>
      </w:pPr>
    </w:p>
    <w:p w14:paraId="5AA2CA5E" w14:textId="77777777" w:rsidR="00A839E7" w:rsidRPr="00A839E7" w:rsidRDefault="00A839E7" w:rsidP="00A839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ОТЧЕТ</w:t>
      </w:r>
    </w:p>
    <w:p w14:paraId="323A4C85" w14:textId="1933714E" w:rsidR="00A839E7" w:rsidRPr="00A839E7" w:rsidRDefault="00A839E7" w:rsidP="00A839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О РАБОТЕ КОНТРОЛЬНО-СЧЕТНОЙ КОМИССИИ ТАШТАГОЛЬСКОГО МУНИЦИПАЛЬНОГО ОКРУГА</w:t>
      </w:r>
    </w:p>
    <w:p w14:paraId="01965207" w14:textId="77777777" w:rsidR="00A839E7" w:rsidRPr="00A839E7" w:rsidRDefault="00A839E7" w:rsidP="00A839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D5837F" w14:textId="68DD612B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  1.Общие сведения о деятельности контрольно-счетной комиссии.</w:t>
      </w:r>
    </w:p>
    <w:p w14:paraId="60229EBD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В 2025 году организация деятельности  Контрольно-счетной комиссии  строилась в соответствии с Конституцией РФ, с  нормативно-правовыми актами Российской Федерации,  на основе принципов законности, объективности, независимости и гласности. </w:t>
      </w:r>
    </w:p>
    <w:p w14:paraId="2B30AAC7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В процессе реализации поставленных задач в 2025 году Контрольно-счетной комиссия осуществляла экспертно-аналитическую, контрольно-ревизионную, информационную деятельность.</w:t>
      </w:r>
    </w:p>
    <w:p w14:paraId="05146046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BE17F2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2. ОСНОВНЫЕ РЕЗУЛЬТАТЫ ДЕЯТЕЛЬНОСТИ В 2025 ГОДУ.</w:t>
      </w:r>
    </w:p>
    <w:p w14:paraId="0CA999CD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 За отчетный период  деятельность Контрольно-счетной комиссией осуществлялась в соответствии с годовым планом, утвержденным председателем,  в течение года в план работы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вносились изменения.</w:t>
      </w:r>
    </w:p>
    <w:p w14:paraId="617DFCC0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Проведено 28  экспертно-аналитических мероприятий,  При планировании мероприятий комиссия стремилась всесторонне охватить ключевые вопросы, исполнения средств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округа, исполнения местных бюджетов с целью повышения эффективности бюджетных ресурсов и устранения системных недочетов.</w:t>
      </w:r>
    </w:p>
    <w:p w14:paraId="39564331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C88CA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2.1. Экспертно-аналитическая деятельность.</w:t>
      </w:r>
    </w:p>
    <w:p w14:paraId="21F88CFE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5BD6B" w14:textId="158DF99A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9E7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Бюджетного кодекса РФ,  о бюджетном процессе муниципального образования в рамках экспертно-аналитической работы были проведены внешние проверки  бюджетной отчетности 11 муниципальных образований, подготовлены заключения  об исполнении бюджетов  за 2024 год в количестве 11 заключений, в которых была дана оценка всех бюджетов, 1 заключение на проект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 округа на 2026  и плановый период 2027 и 2027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 xml:space="preserve"> годов и 15 заключений на проекты бюджетов  муниципальных образований в течение года. Целью проверок являлось  обеспечение соблюдения принципа сбалансированности бюджетов, соблюдение предельных значений, установленных Бюджетным кодексом Российской Федерации.</w:t>
      </w:r>
    </w:p>
    <w:p w14:paraId="2980A736" w14:textId="35FDFDD4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lastRenderedPageBreak/>
        <w:t xml:space="preserve">Всего подготовлено 28 экспертно-аналитических заключения, в том числе Главе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 xml:space="preserve"> в  Совет народных депутатов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представлены  заключения:</w:t>
      </w:r>
    </w:p>
    <w:p w14:paraId="7C3F2091" w14:textId="7A693A3E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25.03.2025г  по    результатам   внешней    проверки   годового   отчета   об исполнении 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за 2024год.</w:t>
      </w:r>
    </w:p>
    <w:p w14:paraId="1CD158B5" w14:textId="658E7B26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за 2024год исполнены в сумме 4461410,45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или  96%  к утвержденным бюджетным назначениям в сумме 4644714,38тыс.рублей.  Общее поступление доходов за 2024год в бюджете муниципального района ниже уровня  2023  года  на 1269505,88тыс. рублей или на 22,15%. Собственные доходы бюджета (без учета безвозмездных поступлений) исполнены в сумме 783349,44тыс. рублей или 17,56% от полученных   доходов.</w:t>
      </w:r>
    </w:p>
    <w:p w14:paraId="2644DF2A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Расходы бюджета исполнены в сумме 4478014,72тыс. рублей или  94,7% к утвержденным бюджетным назначениям в сумме 4727144,38тыс. рублей. Расходы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исполнены  за 2024год  ниже  уровня прошлого года на 1229337,62тыс. рублей или на 21,54%. </w:t>
      </w:r>
    </w:p>
    <w:p w14:paraId="3B3205B5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При исполнении бюджета 2024 года обеспечено соблюдение принципа сбалансированности бюджета: объем, доходов соответствует суммарному объему расходов. Результатом исполнения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является дефицит бюджета в сумме  16604,27 тыс. рублей  и  не  превысил  ограничения, установленные п.3,4 ст.92.1,ст.96 БК РФ показатель - 10 процентов от объема доходов  бюджета без учета безвозмездных поступлений и поступлений налоговых доходов по дополнительным нормативам отчислений. </w:t>
      </w:r>
    </w:p>
    <w:p w14:paraId="0911B41E" w14:textId="52DF26A1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Рост доходов  в 2024 к уровню 2023г составил   - 202,6  млн. рублей:</w:t>
      </w:r>
    </w:p>
    <w:p w14:paraId="0737A1B1" w14:textId="1E5A368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- НДФЛ  за счет увеличения заработной платы работникам 113,8 млн. рублей;</w:t>
      </w:r>
    </w:p>
    <w:p w14:paraId="7C42BF04" w14:textId="05EA9630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- земельного налога  за счет переоценки кадастровой стоимости земельных участков 22,9 млн. рублей</w:t>
      </w:r>
    </w:p>
    <w:p w14:paraId="27A6F3BE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 - негативное воздействие на окружающую среду в сумме 8,5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. за счет поступлений от «ЕВРАЗ-ЗСМК» в связи с реконструкцией и временным изменением технологических процессов на предприятии. </w:t>
      </w:r>
    </w:p>
    <w:p w14:paraId="4AE17A18" w14:textId="608D2E7B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- аренда  и продажа земли   40,5 млн. рублей. Увеличение данного дохода, связано с оплатой задолженности ХП "Корпорация развития курортной зоны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Шерегеш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>" в размере 13, 29млн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>уб. и ежеквартальной оплаты в размере 21, 85млн.руб., а также ООО «Аквапарк Горы Зеленой» оплатил задолженность в размере 5,044млн.руб.</w:t>
      </w:r>
    </w:p>
    <w:p w14:paraId="4715BBCB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Основные характеристики бюджета и состав показателей, содержащиеся в решении о бюджете, соответствуют ст.184.1 Бюджетного кодекса Российской Федерации</w:t>
      </w:r>
      <w:r w:rsidRPr="00A839E7">
        <w:rPr>
          <w:rFonts w:ascii="Times New Roman" w:hAnsi="Times New Roman" w:cs="Times New Roman"/>
          <w:sz w:val="28"/>
          <w:szCs w:val="28"/>
        </w:rPr>
        <w:tab/>
      </w:r>
    </w:p>
    <w:p w14:paraId="438C0EF2" w14:textId="59DD4881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lastRenderedPageBreak/>
        <w:t xml:space="preserve">За 2024год  высокодотационными (выделены  маркером) являются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Коуринское</w:t>
      </w:r>
      <w:proofErr w:type="spellEnd"/>
      <w:proofErr w:type="gramStart"/>
      <w:r w:rsidRPr="00A839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Усть-Кабырзинское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и Кызыл –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Шорское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сельские поселения, у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   превысила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поселениями.  Является   основным условием  предоставления межбюджетных трансфертов из бюджетов субъектов Российской Федерации. В результате чего к образованиям  осуществляются меры, предусмотренные п. 4 ст.136 БК РФ.</w:t>
      </w:r>
    </w:p>
    <w:p w14:paraId="250CE246" w14:textId="6BFF860E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Из приведенных данных в таблице за 2024 указан  удельный вес собственных доходов без учета  объема безвозмездных поступлений в доходах бюджета муниципального образования, иначе - коэффициент собственной сбалансированности местного бюджета, который</w:t>
      </w:r>
      <w:r w:rsidRPr="00A839E7">
        <w:rPr>
          <w:rFonts w:ascii="Times New Roman" w:hAnsi="Times New Roman" w:cs="Times New Roman"/>
          <w:sz w:val="28"/>
          <w:szCs w:val="28"/>
        </w:rPr>
        <w:tab/>
        <w:t xml:space="preserve"> характеризует степень покрытия общей суммы расходов бюджета на реализацию собственных полномочий муниципального образования доходами, без учета утвержденного объема безвозмездных поступлений. Больший коэффициент собственной сбалансированности местного бюджета  исполнен  в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Казском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муниципальном образовании,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Таштагольском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Темиртаусском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, наименьший исполнен в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Мундыбашском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муниципальном образовании. </w:t>
      </w:r>
    </w:p>
    <w:p w14:paraId="7A515D56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Формирование доходов бюджетов перечисленных муниципальных образований  осуществляется главным образом за счёт поступлений: налога на доходы физических лиц, дохода от уплаты акцизов на автомобильный и прямогонный бензин, дизельное топливо,  производимые на территории Российской Федерации, налога на землю.</w:t>
      </w:r>
    </w:p>
    <w:p w14:paraId="46B76622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Относительно расходов.</w:t>
      </w:r>
    </w:p>
    <w:p w14:paraId="04D60404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Коэффициент покрытия расходов муниципального бюджета характеризует степень 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покрытия общей суммы расходов муниципальных органов власти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 xml:space="preserve"> общими доходами местного бюджета. Некоторые авторы называют данный показатель "коэффициент базовой сбалансированности" Если значение данного коэффициента близко к единице, то риск возникновения проблемы финансового обеспечения расходов незначителен.</w:t>
      </w:r>
    </w:p>
    <w:p w14:paraId="2164C2E1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На величину коэффициента оказывают 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влияние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 xml:space="preserve"> сложившееся в бюджетной системе организация системы межбюджетных трансфертов, эффективность администрирования налоговых и неналоговых доходов, эффективность использования бюджетных ресурсов.</w:t>
      </w:r>
    </w:p>
    <w:p w14:paraId="3194F8C6" w14:textId="4DEB43A1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в 2024 </w:t>
      </w:r>
      <w:r w:rsidRPr="00A839E7">
        <w:rPr>
          <w:rFonts w:ascii="Times New Roman" w:hAnsi="Times New Roman" w:cs="Times New Roman"/>
          <w:sz w:val="28"/>
          <w:szCs w:val="28"/>
        </w:rPr>
        <w:lastRenderedPageBreak/>
        <w:t>году исполнены в сумме 4478014,72тыс. рублей или на  94,73% к утвержденным бюджетным назначениям. Расходы в муниципальном образовании представлены в таблице.</w:t>
      </w:r>
    </w:p>
    <w:p w14:paraId="35C91585" w14:textId="0B52AB43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Уменьшение  составило в 2024</w:t>
      </w:r>
      <w:r w:rsidR="002A0BA3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A839E7">
        <w:rPr>
          <w:rFonts w:ascii="Times New Roman" w:hAnsi="Times New Roman" w:cs="Times New Roman"/>
          <w:sz w:val="28"/>
          <w:szCs w:val="28"/>
        </w:rPr>
        <w:t>к уровню 2023</w:t>
      </w:r>
      <w:r w:rsidR="002A0BA3">
        <w:rPr>
          <w:rFonts w:ascii="Times New Roman" w:hAnsi="Times New Roman" w:cs="Times New Roman"/>
          <w:sz w:val="28"/>
          <w:szCs w:val="28"/>
        </w:rPr>
        <w:t xml:space="preserve"> года минус </w:t>
      </w:r>
      <w:r w:rsidRPr="00A839E7">
        <w:rPr>
          <w:rFonts w:ascii="Times New Roman" w:hAnsi="Times New Roman" w:cs="Times New Roman"/>
          <w:sz w:val="28"/>
          <w:szCs w:val="28"/>
        </w:rPr>
        <w:t>1 229,3 млн. рублей</w:t>
      </w:r>
      <w:r w:rsidR="002A0BA3">
        <w:rPr>
          <w:rFonts w:ascii="Times New Roman" w:hAnsi="Times New Roman" w:cs="Times New Roman"/>
          <w:sz w:val="28"/>
          <w:szCs w:val="28"/>
        </w:rPr>
        <w:t xml:space="preserve"> </w:t>
      </w:r>
      <w:r w:rsidRPr="00A839E7">
        <w:rPr>
          <w:rFonts w:ascii="Times New Roman" w:hAnsi="Times New Roman" w:cs="Times New Roman"/>
          <w:sz w:val="28"/>
          <w:szCs w:val="28"/>
        </w:rPr>
        <w:t>(муниципального района). Уменьшение расходов  связано за счет предоставления субсидий и субвенций в бюджет района из областного бюджета.</w:t>
      </w:r>
    </w:p>
    <w:p w14:paraId="7E4B7298" w14:textId="5DF472C3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Вертикальный анализ заключается в определении структуры итоговых финансовых показателей с выявлением влияния каждой позиции отчетности на результат в целом, как и изменения структуры. Наибольшую долю расходов в бюджете муниципального района составили расходы на образование – 38,23%, тогда как в 2023году  - 27,14 %; на жилищно-коммунальное хозяйство – 22,6% ,  в  2023году на их долю приходилось 39,02%; на национальную экономику- 12,48%  против   14,67% в 2023года.</w:t>
      </w:r>
    </w:p>
    <w:p w14:paraId="2F2CC381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Неравномерность поступления и расходования бюджетных сре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>ечение месяца или квартала имеет объективную основу - четко установленные законодательством сроки уплаты налогов. Неравномерность расходования бюджетных сре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>ечение года во многом обусловлена недостаточной эффективностью осуществления процедуры государственных закупок товаров и услуг как со стороны исполнительных органов  при отборе проектов, так и со стороны экономических агентов при исполнении государственного заказа. На муниципальном уровне эта проблема высвечивается объемом поступления финансовой помощи из бюджета субъекта в конце финансового года.</w:t>
      </w:r>
    </w:p>
    <w:p w14:paraId="6DEA9D3F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В 2026-2028гг. сохранен принцип формирования бюджета на основе муниципальных  программ, как основы для  эффективности  бюджетных расходов.</w:t>
      </w:r>
    </w:p>
    <w:p w14:paraId="5C9F609D" w14:textId="6B6F0B2F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26.09.2025 КСК ТМР подготовлено заключение  по результатам  экспертно-аналитического мероприятия «Муниципальные программы социально-экономического развития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округа». 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 xml:space="preserve">Средства, предназначенные на реализацию 24 муниципальных программ из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 осуществляются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 xml:space="preserve"> в рамках планирования, тому есть  экономическое обоснование  целесообразности, с указанием объема и сроков осуществления капитальных вложений  по мероприятиям программ, связанных с осуществлением бюджетных инвестиций, в т. числе в объекты капитального строительства.  При прогнозировании 24 программ на 2026-2028года   в основу заложен  принцип сбалансированности бюджета. Информация об объемах бюджетных ассигнований местного бюджета на реализацию муниципальных  программ представлена в таблице </w:t>
      </w:r>
    </w:p>
    <w:p w14:paraId="694A4212" w14:textId="1E0D0675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Участникам бюджетного процесса следует исходить из необходимости достижения заданных результатов с использованием наименьшего объема средств (экономности) и  достижения наилучшего результата. Динамика капитала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839E7">
        <w:rPr>
          <w:rFonts w:ascii="Times New Roman" w:hAnsi="Times New Roman" w:cs="Times New Roman"/>
          <w:sz w:val="28"/>
          <w:szCs w:val="28"/>
        </w:rPr>
        <w:lastRenderedPageBreak/>
        <w:t>на период 2026-2028 гг. является положительной в результате реализации наиболее ярких и успешных проектов.</w:t>
      </w:r>
    </w:p>
    <w:p w14:paraId="7E8D7AFF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11.11.2025  КСК ТМР подготовлено  экспертное заключение на проект решения «О бюджете муниципального образования  «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муниципальный  округ на 2026год и на плановый период 2027 и 2028 годов»</w:t>
      </w:r>
    </w:p>
    <w:p w14:paraId="14B48339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 Согласно проекту доходы бюджета муниципального образования «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муниципальный округ» прогнозируются на 2026 год  в сумме  4046098 тыс. рублей, из них налоговые и неналоговые доходы 1216300 тыс. рублей, безвозмездные поступления 2829798тыс. рублей; расходы бюджета в сумме 4128998 тыс. рублей. Расходы сформированы в рамках 24 муниципальных  программ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округа. Проект бюджета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округа  на 2026 год сформирован дефицитным  в сумме 82900тыс. рублей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 xml:space="preserve">  не превышает установленный п.3 ст.92.1 БК РФ показатель - 10 процентов от объема доходов  бюджета без учета безвозмездных поступлений и (или) поступлений налоговых доходов по дополнительным нормативам отчислений. На плановый период 2027 и 2028 годов бюджет округа прогнозируется  </w:t>
      </w:r>
      <w:proofErr w:type="gramStart"/>
      <w:r w:rsidRPr="00A839E7">
        <w:rPr>
          <w:rFonts w:ascii="Times New Roman" w:hAnsi="Times New Roman" w:cs="Times New Roman"/>
          <w:sz w:val="28"/>
          <w:szCs w:val="28"/>
        </w:rPr>
        <w:t>бездефицитным</w:t>
      </w:r>
      <w:proofErr w:type="gramEnd"/>
      <w:r w:rsidRPr="00A839E7">
        <w:rPr>
          <w:rFonts w:ascii="Times New Roman" w:hAnsi="Times New Roman" w:cs="Times New Roman"/>
          <w:sz w:val="28"/>
          <w:szCs w:val="28"/>
        </w:rPr>
        <w:t>.</w:t>
      </w:r>
    </w:p>
    <w:p w14:paraId="6C1ADB79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 Из основных задач бюджетной и налоговой политики являются сохранение сбалансированности бюджета, поддержание  налогового потенциала, взвешенный подход при принятии расходных обязательств, прозрачность и открытость. </w:t>
      </w:r>
    </w:p>
    <w:p w14:paraId="5D62B2E2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E756098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2.2 Относительно контрольно-ревизионной деятельности:</w:t>
      </w:r>
    </w:p>
    <w:p w14:paraId="68076E8C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28EE12" w14:textId="44C6B156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В соответствии с заданием Главы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в рамках экспертно-аналитической работы был проведен анализ финансово-хозяйственной деятельности  МКП «Водоканал»  за весь период осуществления деятельности по 01.04.2025г.</w:t>
      </w:r>
    </w:p>
    <w:p w14:paraId="3D41C9A8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>31.08.2025  КСК ТМР подготовлено  экспертное заключение, в результате которого было установлено, что  при расчете сумм компенсации выпадающих доходов организации, предоставляющей населению коммунальные услуги по тарифам, не обеспечивающим  возмещение издержек  отклонений не установлено. Субсидия  МКП "Водоканал" ТМР  получена и использовалась  по назначению.</w:t>
      </w:r>
    </w:p>
    <w:p w14:paraId="1FE216D0" w14:textId="2A715BD8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39E7">
        <w:rPr>
          <w:rFonts w:ascii="Times New Roman" w:hAnsi="Times New Roman" w:cs="Times New Roman"/>
          <w:sz w:val="28"/>
          <w:szCs w:val="28"/>
        </w:rPr>
        <w:t xml:space="preserve">При оказании услуг холодного водоснабжения на всей территории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муниципального района  для всех категорий потребителей  реализация осуществлялась по ставкам, установленным Постановлениями РЭК Кемеровской области на каждый соответствующий период. Оказывая услуги по обеспечению работоспособности производства,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в.ч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. сетей водоснабжения в первом квартале 2025года стоимость услуг выше по стоимости  аналогичных услуг, оказанных  в предыдущих периодах. Стоимостной  скачек услуг, отсутствие  </w:t>
      </w:r>
      <w:proofErr w:type="spellStart"/>
      <w:r w:rsidRPr="00A839E7">
        <w:rPr>
          <w:rFonts w:ascii="Times New Roman" w:hAnsi="Times New Roman" w:cs="Times New Roman"/>
          <w:sz w:val="28"/>
          <w:szCs w:val="28"/>
        </w:rPr>
        <w:t>ebitda</w:t>
      </w:r>
      <w:proofErr w:type="spellEnd"/>
      <w:r w:rsidRPr="00A839E7">
        <w:rPr>
          <w:rFonts w:ascii="Times New Roman" w:hAnsi="Times New Roman" w:cs="Times New Roman"/>
          <w:sz w:val="28"/>
          <w:szCs w:val="28"/>
        </w:rPr>
        <w:t xml:space="preserve"> , изношенность сетей, в </w:t>
      </w:r>
      <w:r w:rsidRPr="00A839E7">
        <w:rPr>
          <w:rFonts w:ascii="Times New Roman" w:hAnsi="Times New Roman" w:cs="Times New Roman"/>
          <w:sz w:val="28"/>
          <w:szCs w:val="28"/>
        </w:rPr>
        <w:lastRenderedPageBreak/>
        <w:t xml:space="preserve">совокупности  повлияло на  финансовое положение организации  к 1 кварталу  2025 года, определяя  его  неустойчивым, что нашло отражение  в платежеспособности организации,  способности рассчитываться по обязательствам.  </w:t>
      </w:r>
    </w:p>
    <w:p w14:paraId="3F91F730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C4CD2B" w14:textId="77777777" w:rsidR="00A839E7" w:rsidRPr="00A839E7" w:rsidRDefault="00A839E7" w:rsidP="00A8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E7D045" w14:textId="77777777" w:rsidR="00CB7A4A" w:rsidRPr="00A839E7" w:rsidRDefault="00CB7A4A" w:rsidP="00920289">
      <w:pPr>
        <w:pStyle w:val="ConsPlusNormal"/>
        <w:widowControl/>
        <w:ind w:firstLine="0"/>
        <w:jc w:val="right"/>
        <w:rPr>
          <w:sz w:val="28"/>
          <w:szCs w:val="28"/>
        </w:rPr>
      </w:pPr>
    </w:p>
    <w:sectPr w:rsidR="00CB7A4A" w:rsidRPr="00A839E7" w:rsidSect="001D0F05">
      <w:footerReference w:type="default" r:id="rId8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3F571" w14:textId="77777777" w:rsidR="00DE4D77" w:rsidRDefault="00DE4D77" w:rsidP="001B4DEC">
      <w:r>
        <w:separator/>
      </w:r>
    </w:p>
  </w:endnote>
  <w:endnote w:type="continuationSeparator" w:id="0">
    <w:p w14:paraId="25CDA524" w14:textId="77777777" w:rsidR="00DE4D77" w:rsidRDefault="00DE4D77" w:rsidP="001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D3C12" w14:textId="77777777" w:rsidR="006C534B" w:rsidRDefault="006C534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10826">
      <w:rPr>
        <w:noProof/>
      </w:rPr>
      <w:t>8</w:t>
    </w:r>
    <w:r>
      <w:fldChar w:fldCharType="end"/>
    </w:r>
  </w:p>
  <w:p w14:paraId="7DE66DBB" w14:textId="77777777" w:rsidR="006C534B" w:rsidRDefault="006C53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FD7C5" w14:textId="77777777" w:rsidR="00DE4D77" w:rsidRDefault="00DE4D77" w:rsidP="001B4DEC">
      <w:r>
        <w:separator/>
      </w:r>
    </w:p>
  </w:footnote>
  <w:footnote w:type="continuationSeparator" w:id="0">
    <w:p w14:paraId="2C6CBE92" w14:textId="77777777" w:rsidR="00DE4D77" w:rsidRDefault="00DE4D77" w:rsidP="001B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3A"/>
    <w:rsid w:val="00003047"/>
    <w:rsid w:val="00034FFF"/>
    <w:rsid w:val="000516FF"/>
    <w:rsid w:val="00056AC0"/>
    <w:rsid w:val="000726F9"/>
    <w:rsid w:val="0008229E"/>
    <w:rsid w:val="000A3ADD"/>
    <w:rsid w:val="000A5550"/>
    <w:rsid w:val="000C0BA3"/>
    <w:rsid w:val="00104FF1"/>
    <w:rsid w:val="001212E9"/>
    <w:rsid w:val="00124B37"/>
    <w:rsid w:val="00137A47"/>
    <w:rsid w:val="00142112"/>
    <w:rsid w:val="00146888"/>
    <w:rsid w:val="0015001D"/>
    <w:rsid w:val="00155257"/>
    <w:rsid w:val="001654FA"/>
    <w:rsid w:val="00181DDD"/>
    <w:rsid w:val="001852E0"/>
    <w:rsid w:val="00194CAA"/>
    <w:rsid w:val="001975C7"/>
    <w:rsid w:val="001B4DEC"/>
    <w:rsid w:val="001C5BCE"/>
    <w:rsid w:val="001C5E51"/>
    <w:rsid w:val="001D0F05"/>
    <w:rsid w:val="001F19D4"/>
    <w:rsid w:val="0022250B"/>
    <w:rsid w:val="002559EF"/>
    <w:rsid w:val="00261FE7"/>
    <w:rsid w:val="00264F98"/>
    <w:rsid w:val="00275391"/>
    <w:rsid w:val="002A0BA3"/>
    <w:rsid w:val="002B0583"/>
    <w:rsid w:val="002B12C2"/>
    <w:rsid w:val="002B5AAC"/>
    <w:rsid w:val="002C14CE"/>
    <w:rsid w:val="002E14B5"/>
    <w:rsid w:val="002F0717"/>
    <w:rsid w:val="003158C3"/>
    <w:rsid w:val="00391A2A"/>
    <w:rsid w:val="003928D8"/>
    <w:rsid w:val="003A2E7E"/>
    <w:rsid w:val="003B58C8"/>
    <w:rsid w:val="003C7A4F"/>
    <w:rsid w:val="003D6292"/>
    <w:rsid w:val="003E28BF"/>
    <w:rsid w:val="003F1A76"/>
    <w:rsid w:val="00405187"/>
    <w:rsid w:val="00424AC3"/>
    <w:rsid w:val="00454446"/>
    <w:rsid w:val="004740CD"/>
    <w:rsid w:val="00483C72"/>
    <w:rsid w:val="00487910"/>
    <w:rsid w:val="0049064C"/>
    <w:rsid w:val="004B37AF"/>
    <w:rsid w:val="004B7A5A"/>
    <w:rsid w:val="004C623A"/>
    <w:rsid w:val="004E637E"/>
    <w:rsid w:val="00506050"/>
    <w:rsid w:val="00523F0B"/>
    <w:rsid w:val="0054444E"/>
    <w:rsid w:val="005575FE"/>
    <w:rsid w:val="005714D2"/>
    <w:rsid w:val="00571F27"/>
    <w:rsid w:val="0059566F"/>
    <w:rsid w:val="005B2EEE"/>
    <w:rsid w:val="005B37F3"/>
    <w:rsid w:val="005E0610"/>
    <w:rsid w:val="005F4196"/>
    <w:rsid w:val="005F451A"/>
    <w:rsid w:val="00622ABC"/>
    <w:rsid w:val="0062337D"/>
    <w:rsid w:val="00625350"/>
    <w:rsid w:val="006255C2"/>
    <w:rsid w:val="0064056C"/>
    <w:rsid w:val="006779B6"/>
    <w:rsid w:val="00677AFB"/>
    <w:rsid w:val="00687D58"/>
    <w:rsid w:val="00694391"/>
    <w:rsid w:val="006A6C2B"/>
    <w:rsid w:val="006C534B"/>
    <w:rsid w:val="007360B7"/>
    <w:rsid w:val="00777FEF"/>
    <w:rsid w:val="007807FA"/>
    <w:rsid w:val="0078466A"/>
    <w:rsid w:val="007B4B90"/>
    <w:rsid w:val="007B692B"/>
    <w:rsid w:val="007C2303"/>
    <w:rsid w:val="007C28CC"/>
    <w:rsid w:val="007D27C9"/>
    <w:rsid w:val="008142EB"/>
    <w:rsid w:val="00836FD3"/>
    <w:rsid w:val="008434EA"/>
    <w:rsid w:val="00877E21"/>
    <w:rsid w:val="008971A7"/>
    <w:rsid w:val="008D43CF"/>
    <w:rsid w:val="008D5262"/>
    <w:rsid w:val="008D5900"/>
    <w:rsid w:val="008E4BAD"/>
    <w:rsid w:val="008F3D73"/>
    <w:rsid w:val="00905936"/>
    <w:rsid w:val="00917C19"/>
    <w:rsid w:val="00920289"/>
    <w:rsid w:val="00941515"/>
    <w:rsid w:val="00944ED9"/>
    <w:rsid w:val="009557D3"/>
    <w:rsid w:val="00956E24"/>
    <w:rsid w:val="00964FD1"/>
    <w:rsid w:val="0097169F"/>
    <w:rsid w:val="009858D3"/>
    <w:rsid w:val="009D3278"/>
    <w:rsid w:val="009D4218"/>
    <w:rsid w:val="009E42F2"/>
    <w:rsid w:val="00A014BD"/>
    <w:rsid w:val="00A05836"/>
    <w:rsid w:val="00A14921"/>
    <w:rsid w:val="00A210D2"/>
    <w:rsid w:val="00A44270"/>
    <w:rsid w:val="00A577A0"/>
    <w:rsid w:val="00A60E3F"/>
    <w:rsid w:val="00A83153"/>
    <w:rsid w:val="00A839E7"/>
    <w:rsid w:val="00A85779"/>
    <w:rsid w:val="00A91A42"/>
    <w:rsid w:val="00AB04B1"/>
    <w:rsid w:val="00AD6F3A"/>
    <w:rsid w:val="00B0703B"/>
    <w:rsid w:val="00B204EB"/>
    <w:rsid w:val="00B648D1"/>
    <w:rsid w:val="00B87DBC"/>
    <w:rsid w:val="00B90E96"/>
    <w:rsid w:val="00BB04F8"/>
    <w:rsid w:val="00BF17AB"/>
    <w:rsid w:val="00BF6DBC"/>
    <w:rsid w:val="00C10826"/>
    <w:rsid w:val="00C26693"/>
    <w:rsid w:val="00C33EDF"/>
    <w:rsid w:val="00C443D2"/>
    <w:rsid w:val="00C91EF0"/>
    <w:rsid w:val="00CA0D01"/>
    <w:rsid w:val="00CA152C"/>
    <w:rsid w:val="00CB7A4A"/>
    <w:rsid w:val="00CD1E8D"/>
    <w:rsid w:val="00CF3574"/>
    <w:rsid w:val="00D32601"/>
    <w:rsid w:val="00D33461"/>
    <w:rsid w:val="00D509A0"/>
    <w:rsid w:val="00D775F1"/>
    <w:rsid w:val="00DB7289"/>
    <w:rsid w:val="00DC5C6E"/>
    <w:rsid w:val="00DD30F3"/>
    <w:rsid w:val="00DD5CE9"/>
    <w:rsid w:val="00DE4D77"/>
    <w:rsid w:val="00DF3FFC"/>
    <w:rsid w:val="00DF441F"/>
    <w:rsid w:val="00DF66CE"/>
    <w:rsid w:val="00E02DAB"/>
    <w:rsid w:val="00E11E2A"/>
    <w:rsid w:val="00E12CE5"/>
    <w:rsid w:val="00E1384C"/>
    <w:rsid w:val="00E3764C"/>
    <w:rsid w:val="00E40141"/>
    <w:rsid w:val="00E4386C"/>
    <w:rsid w:val="00E505CF"/>
    <w:rsid w:val="00E6258D"/>
    <w:rsid w:val="00E6747D"/>
    <w:rsid w:val="00E84BF4"/>
    <w:rsid w:val="00EA36FA"/>
    <w:rsid w:val="00EB7DD5"/>
    <w:rsid w:val="00EC23D0"/>
    <w:rsid w:val="00ED50D3"/>
    <w:rsid w:val="00F0397F"/>
    <w:rsid w:val="00F04678"/>
    <w:rsid w:val="00F061EB"/>
    <w:rsid w:val="00F14863"/>
    <w:rsid w:val="00F20D17"/>
    <w:rsid w:val="00F25D35"/>
    <w:rsid w:val="00F525E2"/>
    <w:rsid w:val="00F774F2"/>
    <w:rsid w:val="00F9471A"/>
    <w:rsid w:val="00FB2AC3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7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84B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84B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8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</dc:creator>
  <cp:keywords/>
  <cp:lastModifiedBy>sovet</cp:lastModifiedBy>
  <cp:revision>36</cp:revision>
  <cp:lastPrinted>2026-01-23T04:06:00Z</cp:lastPrinted>
  <dcterms:created xsi:type="dcterms:W3CDTF">2025-10-13T01:32:00Z</dcterms:created>
  <dcterms:modified xsi:type="dcterms:W3CDTF">2026-02-25T08:12:00Z</dcterms:modified>
</cp:coreProperties>
</file>