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E8266D" w:rsidP="00FF559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43180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597" w:rsidRDefault="00FF5597" w:rsidP="00FF5597">
      <w:pPr>
        <w:jc w:val="center"/>
      </w:pP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405C" w:rsidRDefault="00FF405C" w:rsidP="00FF405C">
      <w:pPr>
        <w:jc w:val="center"/>
        <w:rPr>
          <w:b/>
          <w:bCs/>
          <w:sz w:val="28"/>
          <w:szCs w:val="28"/>
        </w:rPr>
      </w:pPr>
    </w:p>
    <w:p w:rsidR="00FF405C" w:rsidRPr="00490E33" w:rsidRDefault="00FF405C" w:rsidP="00FF405C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31508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»</w:t>
      </w:r>
      <w:r w:rsidR="00631508">
        <w:rPr>
          <w:b/>
          <w:bCs/>
          <w:sz w:val="28"/>
          <w:szCs w:val="28"/>
        </w:rPr>
        <w:t xml:space="preserve"> февраля </w:t>
      </w:r>
      <w:r>
        <w:rPr>
          <w:b/>
          <w:bCs/>
          <w:sz w:val="28"/>
          <w:szCs w:val="28"/>
        </w:rPr>
        <w:t>202</w:t>
      </w:r>
      <w:r w:rsidR="00CE38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 №</w:t>
      </w:r>
      <w:r w:rsidR="00E11064">
        <w:rPr>
          <w:b/>
          <w:bCs/>
          <w:sz w:val="28"/>
          <w:szCs w:val="28"/>
        </w:rPr>
        <w:t xml:space="preserve"> </w:t>
      </w:r>
      <w:r w:rsidR="00631508">
        <w:rPr>
          <w:b/>
          <w:bCs/>
          <w:sz w:val="28"/>
          <w:szCs w:val="28"/>
        </w:rPr>
        <w:t>98-рр</w:t>
      </w:r>
      <w:r w:rsidR="00A9555D">
        <w:rPr>
          <w:b/>
          <w:bCs/>
          <w:sz w:val="28"/>
          <w:szCs w:val="28"/>
        </w:rPr>
        <w:t xml:space="preserve"> 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Pr="00EC4C5F" w:rsidRDefault="00E11064" w:rsidP="007610EC">
      <w:pPr>
        <w:jc w:val="right"/>
        <w:rPr>
          <w:b/>
          <w:bCs/>
          <w:sz w:val="28"/>
          <w:szCs w:val="28"/>
        </w:rPr>
      </w:pPr>
      <w:r w:rsidRPr="00EC4C5F">
        <w:rPr>
          <w:b/>
          <w:bCs/>
          <w:sz w:val="28"/>
          <w:szCs w:val="28"/>
        </w:rPr>
        <w:t xml:space="preserve">               </w:t>
      </w:r>
      <w:r w:rsidR="007610EC" w:rsidRPr="00EC4C5F">
        <w:rPr>
          <w:b/>
          <w:bCs/>
          <w:sz w:val="28"/>
          <w:szCs w:val="28"/>
        </w:rPr>
        <w:t xml:space="preserve">от </w:t>
      </w:r>
      <w:r w:rsidR="00A9555D" w:rsidRPr="00EC4C5F">
        <w:rPr>
          <w:b/>
          <w:bCs/>
          <w:sz w:val="28"/>
          <w:szCs w:val="28"/>
        </w:rPr>
        <w:t xml:space="preserve"> </w:t>
      </w:r>
      <w:r w:rsidR="00631508" w:rsidRPr="00EC4C5F">
        <w:rPr>
          <w:b/>
          <w:bCs/>
          <w:sz w:val="28"/>
          <w:szCs w:val="28"/>
        </w:rPr>
        <w:t>18 февраля 2025</w:t>
      </w:r>
      <w:r w:rsidR="007610EC" w:rsidRPr="00EC4C5F">
        <w:rPr>
          <w:b/>
          <w:bCs/>
          <w:sz w:val="28"/>
          <w:szCs w:val="28"/>
        </w:rPr>
        <w:t xml:space="preserve">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CE38F8" w:rsidRDefault="00CE38F8" w:rsidP="00CE38F8">
      <w:pPr>
        <w:jc w:val="center"/>
        <w:rPr>
          <w:b/>
          <w:bCs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дополнений</w:t>
      </w:r>
      <w:r w:rsidRPr="00AF12F3">
        <w:rPr>
          <w:b/>
          <w:sz w:val="28"/>
          <w:szCs w:val="28"/>
        </w:rPr>
        <w:t xml:space="preserve">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на 20</w:t>
      </w:r>
      <w:r>
        <w:rPr>
          <w:b/>
          <w:sz w:val="28"/>
          <w:szCs w:val="28"/>
        </w:rPr>
        <w:t>25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№92-рр</w:t>
      </w:r>
      <w:r w:rsidRPr="00AF12F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24.12.2024 года </w:t>
      </w:r>
    </w:p>
    <w:p w:rsidR="009E2C5D" w:rsidRDefault="009E2C5D" w:rsidP="009E2C5D">
      <w:pPr>
        <w:jc w:val="center"/>
        <w:rPr>
          <w:b/>
          <w:bCs/>
          <w:sz w:val="28"/>
          <w:szCs w:val="28"/>
        </w:rPr>
      </w:pPr>
    </w:p>
    <w:p w:rsidR="00CD3F75" w:rsidRDefault="00CD3F75">
      <w:pPr>
        <w:pStyle w:val="3"/>
        <w:rPr>
          <w:sz w:val="28"/>
          <w:szCs w:val="28"/>
        </w:rPr>
      </w:pPr>
    </w:p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уставом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9E2C5D" w:rsidRPr="00A42A98" w:rsidRDefault="009E2C5D">
      <w:pPr>
        <w:jc w:val="both"/>
        <w:rPr>
          <w:b/>
          <w:bCs/>
          <w:sz w:val="28"/>
          <w:szCs w:val="28"/>
        </w:rPr>
      </w:pP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AD">
        <w:rPr>
          <w:sz w:val="28"/>
          <w:szCs w:val="28"/>
        </w:rPr>
        <w:t xml:space="preserve">1.  Дополнить Раздел 1. Недвижимое имущество пунктом </w:t>
      </w:r>
      <w:r w:rsidR="00CE38F8">
        <w:rPr>
          <w:sz w:val="28"/>
          <w:szCs w:val="28"/>
        </w:rPr>
        <w:t>2, пунктом 3</w:t>
      </w:r>
      <w:r w:rsidRPr="00252AAD">
        <w:rPr>
          <w:sz w:val="28"/>
          <w:szCs w:val="28"/>
        </w:rPr>
        <w:t>,</w:t>
      </w:r>
      <w:r w:rsidR="00CE38F8" w:rsidRPr="00CE38F8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Раздел 2</w:t>
      </w:r>
      <w:r w:rsidR="00CE38F8" w:rsidRPr="006E7A21">
        <w:t xml:space="preserve">. </w:t>
      </w:r>
      <w:r w:rsidR="00CE38F8" w:rsidRPr="00C25D83">
        <w:rPr>
          <w:sz w:val="28"/>
          <w:szCs w:val="28"/>
        </w:rPr>
        <w:t>Движимое имущество</w:t>
      </w:r>
      <w:r w:rsidR="00CE38F8">
        <w:rPr>
          <w:sz w:val="28"/>
          <w:szCs w:val="28"/>
        </w:rPr>
        <w:t xml:space="preserve"> пунктом 3</w:t>
      </w:r>
      <w:r w:rsidRPr="00252AAD">
        <w:rPr>
          <w:sz w:val="28"/>
          <w:szCs w:val="28"/>
        </w:rPr>
        <w:t xml:space="preserve">   Прогнозного плана (программы) приватизации</w:t>
      </w:r>
      <w:r w:rsidRPr="007D2576">
        <w:rPr>
          <w:sz w:val="28"/>
          <w:szCs w:val="28"/>
        </w:rPr>
        <w:t xml:space="preserve"> муниципального имущества Таштагольского муниципального района на 20</w:t>
      </w:r>
      <w:r>
        <w:rPr>
          <w:sz w:val="28"/>
          <w:szCs w:val="28"/>
        </w:rPr>
        <w:t>2</w:t>
      </w:r>
      <w:r w:rsidR="00CE38F8">
        <w:rPr>
          <w:sz w:val="28"/>
          <w:szCs w:val="28"/>
        </w:rPr>
        <w:t>5</w:t>
      </w:r>
      <w:r w:rsidRPr="007D2576">
        <w:rPr>
          <w:sz w:val="28"/>
          <w:szCs w:val="28"/>
        </w:rPr>
        <w:t xml:space="preserve"> год, утвержденн</w:t>
      </w:r>
      <w:r>
        <w:rPr>
          <w:sz w:val="28"/>
          <w:szCs w:val="28"/>
        </w:rPr>
        <w:t>ого</w:t>
      </w:r>
      <w:r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 w:rsidR="00CE38F8">
        <w:rPr>
          <w:sz w:val="28"/>
          <w:szCs w:val="28"/>
        </w:rPr>
        <w:t>92</w:t>
      </w:r>
      <w:r w:rsidRPr="007D2576">
        <w:rPr>
          <w:bCs/>
          <w:sz w:val="28"/>
          <w:szCs w:val="28"/>
        </w:rPr>
        <w:t>-рр</w:t>
      </w:r>
      <w:r w:rsidRPr="007D2576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E38F8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E38F8">
        <w:rPr>
          <w:sz w:val="28"/>
          <w:szCs w:val="28"/>
        </w:rPr>
        <w:t>4</w:t>
      </w:r>
      <w:r w:rsidRPr="007D2576">
        <w:rPr>
          <w:bCs/>
          <w:sz w:val="28"/>
          <w:szCs w:val="28"/>
        </w:rPr>
        <w:t xml:space="preserve"> </w:t>
      </w:r>
      <w:r w:rsidRPr="007D2576">
        <w:rPr>
          <w:sz w:val="28"/>
          <w:szCs w:val="28"/>
        </w:rPr>
        <w:t>года</w:t>
      </w:r>
      <w:r w:rsidRPr="005E1FD4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следующей редакции:</w:t>
      </w:r>
    </w:p>
    <w:p w:rsidR="009E2C5D" w:rsidRDefault="009E2C5D" w:rsidP="009E2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125"/>
        <w:gridCol w:w="720"/>
        <w:gridCol w:w="132"/>
        <w:gridCol w:w="992"/>
        <w:gridCol w:w="20"/>
        <w:gridCol w:w="1681"/>
        <w:gridCol w:w="1549"/>
        <w:gridCol w:w="10"/>
      </w:tblGrid>
      <w:tr w:rsidR="00CE38F8" w:rsidRPr="00A071C7" w:rsidTr="00923622">
        <w:trPr>
          <w:gridAfter w:val="1"/>
          <w:wAfter w:w="10" w:type="dxa"/>
          <w:cantSplit/>
          <w:trHeight w:val="834"/>
        </w:trPr>
        <w:tc>
          <w:tcPr>
            <w:tcW w:w="710" w:type="dxa"/>
          </w:tcPr>
          <w:p w:rsidR="00CE38F8" w:rsidRPr="00A071C7" w:rsidRDefault="009E2C5D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38F8" w:rsidRPr="00A071C7">
              <w:rPr>
                <w:sz w:val="22"/>
                <w:szCs w:val="22"/>
              </w:rPr>
              <w:t>№</w:t>
            </w:r>
          </w:p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proofErr w:type="gramStart"/>
            <w:r w:rsidRPr="00A071C7">
              <w:rPr>
                <w:sz w:val="22"/>
                <w:szCs w:val="22"/>
              </w:rPr>
              <w:t>п</w:t>
            </w:r>
            <w:proofErr w:type="gramEnd"/>
            <w:r w:rsidRPr="00A071C7">
              <w:rPr>
                <w:sz w:val="22"/>
                <w:szCs w:val="22"/>
              </w:rPr>
              <w:t>/п</w:t>
            </w:r>
          </w:p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Наименование объекта, назначение</w:t>
            </w:r>
          </w:p>
        </w:tc>
        <w:tc>
          <w:tcPr>
            <w:tcW w:w="2845" w:type="dxa"/>
            <w:gridSpan w:val="2"/>
          </w:tcPr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Местоположение/</w:t>
            </w:r>
          </w:p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  <w:gridSpan w:val="3"/>
          </w:tcPr>
          <w:p w:rsidR="00CE38F8" w:rsidRPr="00A071C7" w:rsidRDefault="00CE38F8" w:rsidP="00923622">
            <w:pPr>
              <w:ind w:right="-108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681" w:type="dxa"/>
          </w:tcPr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Способ</w:t>
            </w:r>
          </w:p>
          <w:p w:rsidR="00CE38F8" w:rsidRPr="00A071C7" w:rsidRDefault="00CE38F8" w:rsidP="00923622">
            <w:pPr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549" w:type="dxa"/>
          </w:tcPr>
          <w:p w:rsidR="00CE38F8" w:rsidRPr="00A071C7" w:rsidRDefault="00CE38F8" w:rsidP="00923622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Предполагаемый срок    приватизации</w:t>
            </w:r>
          </w:p>
        </w:tc>
      </w:tr>
      <w:tr w:rsidR="00CE38F8" w:rsidRPr="00A071C7" w:rsidTr="00923622">
        <w:trPr>
          <w:gridAfter w:val="1"/>
          <w:wAfter w:w="10" w:type="dxa"/>
          <w:cantSplit/>
          <w:trHeight w:val="204"/>
        </w:trPr>
        <w:tc>
          <w:tcPr>
            <w:tcW w:w="10197" w:type="dxa"/>
            <w:gridSpan w:val="9"/>
          </w:tcPr>
          <w:p w:rsidR="00CE38F8" w:rsidRPr="00A071C7" w:rsidRDefault="00CE38F8" w:rsidP="00923622">
            <w:pPr>
              <w:pStyle w:val="a3"/>
              <w:jc w:val="center"/>
              <w:rPr>
                <w:sz w:val="22"/>
                <w:szCs w:val="22"/>
              </w:rPr>
            </w:pPr>
            <w:r w:rsidRPr="00A071C7">
              <w:rPr>
                <w:sz w:val="22"/>
                <w:szCs w:val="22"/>
              </w:rPr>
              <w:t>1. Недвижимое имущество</w:t>
            </w:r>
          </w:p>
        </w:tc>
      </w:tr>
      <w:tr w:rsidR="00CE38F8" w:rsidRPr="00A265A3" w:rsidTr="00923622">
        <w:trPr>
          <w:gridAfter w:val="1"/>
          <w:wAfter w:w="10" w:type="dxa"/>
          <w:cantSplit/>
          <w:trHeight w:val="480"/>
        </w:trPr>
        <w:tc>
          <w:tcPr>
            <w:tcW w:w="710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:rsidR="00CE38F8" w:rsidRPr="00A265A3" w:rsidRDefault="00CE38F8" w:rsidP="00923622">
            <w:pPr>
              <w:rPr>
                <w:b/>
                <w:bCs/>
                <w:sz w:val="22"/>
                <w:szCs w:val="22"/>
              </w:rPr>
            </w:pPr>
            <w:r w:rsidRPr="00A265A3">
              <w:rPr>
                <w:rStyle w:val="ad"/>
                <w:b w:val="0"/>
                <w:color w:val="333333"/>
                <w:sz w:val="22"/>
                <w:szCs w:val="22"/>
                <w:shd w:val="clear" w:color="auto" w:fill="F8F9FA"/>
              </w:rPr>
              <w:t>Сооружение (нежилое здание, участковая больница, объект незавершенного строительства)</w:t>
            </w:r>
          </w:p>
          <w:p w:rsidR="00CE38F8" w:rsidRPr="00A265A3" w:rsidRDefault="00CE38F8" w:rsidP="00923622">
            <w:pPr>
              <w:rPr>
                <w:bCs/>
                <w:sz w:val="22"/>
                <w:szCs w:val="22"/>
              </w:rPr>
            </w:pPr>
            <w:r w:rsidRPr="00A265A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845" w:type="dxa"/>
            <w:gridSpan w:val="2"/>
          </w:tcPr>
          <w:p w:rsidR="00CE38F8" w:rsidRPr="00A265A3" w:rsidRDefault="00CE38F8" w:rsidP="00923622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 xml:space="preserve">Кемеровская область - Кузбасс, </w:t>
            </w:r>
            <w:proofErr w:type="spell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Таштагольский</w:t>
            </w:r>
            <w:proofErr w:type="spell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 xml:space="preserve"> район, </w:t>
            </w:r>
            <w:proofErr w:type="spell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пгт</w:t>
            </w:r>
            <w:proofErr w:type="gram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.М</w:t>
            </w:r>
            <w:proofErr w:type="gram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ундыбаш</w:t>
            </w:r>
            <w:proofErr w:type="spell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, ул.Кабалевского,4, кадастровый номер 42:12:0106002:4405</w:t>
            </w:r>
          </w:p>
          <w:p w:rsidR="00CE38F8" w:rsidRPr="00A265A3" w:rsidRDefault="00CE38F8" w:rsidP="00923622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Кемеровская област</w:t>
            </w:r>
            <w:proofErr w:type="gram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ь-</w:t>
            </w:r>
            <w:proofErr w:type="gram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 xml:space="preserve"> Кузбасс, </w:t>
            </w:r>
            <w:proofErr w:type="spell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Таштагольский</w:t>
            </w:r>
            <w:proofErr w:type="spell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 xml:space="preserve"> район, </w:t>
            </w:r>
            <w:proofErr w:type="spellStart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пгт</w:t>
            </w:r>
            <w:proofErr w:type="spellEnd"/>
            <w:r w:rsidRPr="00A265A3">
              <w:rPr>
                <w:color w:val="292C2F"/>
                <w:sz w:val="22"/>
                <w:szCs w:val="22"/>
                <w:shd w:val="clear" w:color="auto" w:fill="F8F8F8"/>
              </w:rPr>
              <w:t>. Мундыбаш, ул. Кабалевского,4, кадастровый номер 42:12:0106002:4385</w:t>
            </w:r>
          </w:p>
        </w:tc>
        <w:tc>
          <w:tcPr>
            <w:tcW w:w="1144" w:type="dxa"/>
            <w:gridSpan w:val="3"/>
          </w:tcPr>
          <w:p w:rsidR="00CE38F8" w:rsidRPr="00A265A3" w:rsidRDefault="00CE38F8" w:rsidP="00923622">
            <w:pPr>
              <w:jc w:val="center"/>
              <w:rPr>
                <w:bCs/>
                <w:sz w:val="22"/>
                <w:szCs w:val="22"/>
              </w:rPr>
            </w:pPr>
            <w:r w:rsidRPr="00A265A3">
              <w:rPr>
                <w:bCs/>
                <w:sz w:val="22"/>
                <w:szCs w:val="22"/>
              </w:rPr>
              <w:t>1 326,4</w:t>
            </w:r>
          </w:p>
          <w:p w:rsidR="00CE38F8" w:rsidRPr="00A265A3" w:rsidRDefault="00CE38F8" w:rsidP="00923622">
            <w:pPr>
              <w:rPr>
                <w:sz w:val="22"/>
                <w:szCs w:val="22"/>
              </w:rPr>
            </w:pPr>
          </w:p>
          <w:p w:rsidR="00CE38F8" w:rsidRPr="00A265A3" w:rsidRDefault="00CE38F8" w:rsidP="00923622">
            <w:pPr>
              <w:rPr>
                <w:sz w:val="22"/>
                <w:szCs w:val="22"/>
              </w:rPr>
            </w:pPr>
          </w:p>
          <w:p w:rsidR="00CE38F8" w:rsidRPr="00A265A3" w:rsidRDefault="00CE38F8" w:rsidP="00923622">
            <w:pPr>
              <w:rPr>
                <w:sz w:val="22"/>
                <w:szCs w:val="22"/>
              </w:rPr>
            </w:pPr>
          </w:p>
          <w:p w:rsidR="00CE38F8" w:rsidRPr="00A265A3" w:rsidRDefault="00CE38F8" w:rsidP="00923622">
            <w:pPr>
              <w:rPr>
                <w:sz w:val="22"/>
                <w:szCs w:val="22"/>
              </w:rPr>
            </w:pPr>
          </w:p>
          <w:p w:rsidR="00CE38F8" w:rsidRPr="00A265A3" w:rsidRDefault="00CE38F8" w:rsidP="00923622">
            <w:pPr>
              <w:rPr>
                <w:sz w:val="22"/>
                <w:szCs w:val="22"/>
              </w:rPr>
            </w:pPr>
          </w:p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4 734,00</w:t>
            </w:r>
          </w:p>
        </w:tc>
        <w:tc>
          <w:tcPr>
            <w:tcW w:w="1681" w:type="dxa"/>
          </w:tcPr>
          <w:p w:rsidR="00CE38F8" w:rsidRPr="00A265A3" w:rsidRDefault="00CE38F8" w:rsidP="006315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="00631508">
              <w:rPr>
                <w:sz w:val="22"/>
                <w:szCs w:val="22"/>
              </w:rPr>
              <w:t xml:space="preserve">средством публичного предложения </w:t>
            </w:r>
          </w:p>
        </w:tc>
        <w:tc>
          <w:tcPr>
            <w:tcW w:w="1549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65A3">
              <w:rPr>
                <w:sz w:val="22"/>
                <w:szCs w:val="22"/>
              </w:rPr>
              <w:t xml:space="preserve"> полугодие</w:t>
            </w:r>
          </w:p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CE38F8" w:rsidRPr="00A265A3" w:rsidTr="00923622">
        <w:trPr>
          <w:gridAfter w:val="1"/>
          <w:wAfter w:w="10" w:type="dxa"/>
          <w:cantSplit/>
          <w:trHeight w:val="480"/>
        </w:trPr>
        <w:tc>
          <w:tcPr>
            <w:tcW w:w="710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CE38F8" w:rsidRPr="00A265A3" w:rsidRDefault="00CE38F8" w:rsidP="00923622">
            <w:pPr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Сооружение: Станция «Турист»-1 очередь</w:t>
            </w:r>
          </w:p>
        </w:tc>
        <w:tc>
          <w:tcPr>
            <w:tcW w:w="2845" w:type="dxa"/>
            <w:gridSpan w:val="2"/>
          </w:tcPr>
          <w:p w:rsidR="00CE38F8" w:rsidRPr="00A265A3" w:rsidRDefault="00CE38F8" w:rsidP="00923622">
            <w:pPr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 xml:space="preserve">Кемеровская область, 14-ый </w:t>
            </w:r>
            <w:proofErr w:type="gramStart"/>
            <w:r w:rsidRPr="00A265A3">
              <w:rPr>
                <w:sz w:val="22"/>
                <w:szCs w:val="22"/>
              </w:rPr>
              <w:t>км ж</w:t>
            </w:r>
            <w:proofErr w:type="gramEnd"/>
            <w:r w:rsidRPr="00A265A3">
              <w:rPr>
                <w:sz w:val="22"/>
                <w:szCs w:val="22"/>
              </w:rPr>
              <w:t>/д пути Таштагол-</w:t>
            </w:r>
            <w:proofErr w:type="spellStart"/>
            <w:r w:rsidRPr="00A265A3">
              <w:rPr>
                <w:sz w:val="22"/>
                <w:szCs w:val="22"/>
              </w:rPr>
              <w:t>Шерегеш</w:t>
            </w:r>
            <w:proofErr w:type="spellEnd"/>
            <w:r w:rsidRPr="00A265A3">
              <w:rPr>
                <w:sz w:val="22"/>
                <w:szCs w:val="22"/>
              </w:rPr>
              <w:t>, кадастровый №42:00:0000000:3618</w:t>
            </w:r>
          </w:p>
        </w:tc>
        <w:tc>
          <w:tcPr>
            <w:tcW w:w="1144" w:type="dxa"/>
            <w:gridSpan w:val="3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879 м.</w:t>
            </w:r>
          </w:p>
        </w:tc>
        <w:tc>
          <w:tcPr>
            <w:tcW w:w="1681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Аукцион</w:t>
            </w:r>
          </w:p>
        </w:tc>
        <w:tc>
          <w:tcPr>
            <w:tcW w:w="1549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65A3">
              <w:rPr>
                <w:sz w:val="22"/>
                <w:szCs w:val="22"/>
              </w:rPr>
              <w:t xml:space="preserve"> полугодие</w:t>
            </w:r>
          </w:p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CE38F8" w:rsidRPr="00A265A3" w:rsidTr="00923622">
        <w:trPr>
          <w:gridAfter w:val="1"/>
          <w:wAfter w:w="10" w:type="dxa"/>
          <w:cantSplit/>
          <w:trHeight w:val="246"/>
        </w:trPr>
        <w:tc>
          <w:tcPr>
            <w:tcW w:w="10197" w:type="dxa"/>
            <w:gridSpan w:val="9"/>
          </w:tcPr>
          <w:p w:rsidR="00CE38F8" w:rsidRPr="00A265A3" w:rsidRDefault="00CE38F8" w:rsidP="00923622">
            <w:pPr>
              <w:pStyle w:val="a3"/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2. Движимое имущество</w:t>
            </w:r>
          </w:p>
        </w:tc>
      </w:tr>
      <w:tr w:rsidR="00CE38F8" w:rsidRPr="00A265A3" w:rsidTr="00923622">
        <w:trPr>
          <w:cantSplit/>
          <w:trHeight w:val="1382"/>
        </w:trPr>
        <w:tc>
          <w:tcPr>
            <w:tcW w:w="710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3.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CE38F8" w:rsidRPr="00A265A3" w:rsidRDefault="00CE38F8" w:rsidP="0092362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Автомобиль, марка, модель ТС FORD ФОРД «ФОКУС», наименование (тип ТС) легковой, идентификационный номер (</w:t>
            </w:r>
            <w:r w:rsidRPr="00A265A3">
              <w:rPr>
                <w:sz w:val="22"/>
                <w:szCs w:val="22"/>
                <w:lang w:val="en-US"/>
              </w:rPr>
              <w:t>VIN</w:t>
            </w:r>
            <w:r w:rsidRPr="00A265A3">
              <w:rPr>
                <w:sz w:val="22"/>
                <w:szCs w:val="22"/>
              </w:rPr>
              <w:t>) Х9F4XXEED47Y88519, год изготовления ТС 2007, категория ТС (А, В</w:t>
            </w:r>
            <w:proofErr w:type="gramStart"/>
            <w:r w:rsidRPr="00A265A3">
              <w:rPr>
                <w:sz w:val="22"/>
                <w:szCs w:val="22"/>
              </w:rPr>
              <w:t>,С</w:t>
            </w:r>
            <w:proofErr w:type="gramEnd"/>
            <w:r w:rsidRPr="00A265A3">
              <w:rPr>
                <w:sz w:val="22"/>
                <w:szCs w:val="22"/>
              </w:rPr>
              <w:t>,</w:t>
            </w:r>
            <w:r w:rsidRPr="00A265A3">
              <w:rPr>
                <w:sz w:val="22"/>
                <w:szCs w:val="22"/>
                <w:lang w:val="en-US"/>
              </w:rPr>
              <w:t>D</w:t>
            </w:r>
            <w:r w:rsidRPr="00A265A3">
              <w:rPr>
                <w:sz w:val="22"/>
                <w:szCs w:val="22"/>
              </w:rPr>
              <w:t>, прицеп) В, модель, № двигателя НХ</w:t>
            </w:r>
            <w:r w:rsidRPr="00A265A3">
              <w:rPr>
                <w:sz w:val="22"/>
                <w:szCs w:val="22"/>
                <w:lang w:val="en-US"/>
              </w:rPr>
              <w:t>DB</w:t>
            </w:r>
            <w:r w:rsidRPr="00A265A3">
              <w:rPr>
                <w:sz w:val="22"/>
                <w:szCs w:val="22"/>
              </w:rPr>
              <w:t xml:space="preserve"> 7</w:t>
            </w:r>
            <w:r w:rsidRPr="00A265A3">
              <w:rPr>
                <w:sz w:val="22"/>
                <w:szCs w:val="22"/>
                <w:lang w:val="en-US"/>
              </w:rPr>
              <w:t>Y</w:t>
            </w:r>
            <w:r w:rsidRPr="00A265A3">
              <w:rPr>
                <w:sz w:val="22"/>
                <w:szCs w:val="22"/>
              </w:rPr>
              <w:t xml:space="preserve">88519, шасси (рама) № отсутствует, кузов (кабина, прицеп) № Х9F4XXEED47Y88519, цвет кузова (кабины, прицепа) черный, мощность двигателя, л.с. (кВт) 115 л. с., 85 кВт, рабочий объем двигателя, куб.см. 1596, тип двигателя бензиновый, экологический класс четвертый, разрешенная максимальная масса, </w:t>
            </w:r>
            <w:proofErr w:type="gramStart"/>
            <w:r w:rsidRPr="00A265A3">
              <w:rPr>
                <w:sz w:val="22"/>
                <w:szCs w:val="22"/>
              </w:rPr>
              <w:t>кг</w:t>
            </w:r>
            <w:proofErr w:type="gramEnd"/>
            <w:r w:rsidRPr="00A265A3">
              <w:rPr>
                <w:sz w:val="22"/>
                <w:szCs w:val="22"/>
              </w:rPr>
              <w:t>. 1765, паспорт транспортного средства 47 ММ 842136, дата выдачи паспорта 07.06.2007 г., государственный  регистрационный знак Н290КМ142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E38F8" w:rsidRDefault="00CE38F8" w:rsidP="009236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публичного предложения</w:t>
            </w:r>
          </w:p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65A3">
              <w:rPr>
                <w:sz w:val="22"/>
                <w:szCs w:val="22"/>
              </w:rPr>
              <w:t xml:space="preserve">  полугодие</w:t>
            </w:r>
          </w:p>
          <w:p w:rsidR="00CE38F8" w:rsidRPr="00A265A3" w:rsidRDefault="00CE38F8" w:rsidP="00923622">
            <w:pPr>
              <w:jc w:val="center"/>
              <w:rPr>
                <w:sz w:val="22"/>
                <w:szCs w:val="22"/>
              </w:rPr>
            </w:pPr>
            <w:r w:rsidRPr="00A265A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9E2C5D" w:rsidRPr="00BE7055" w:rsidRDefault="009E2C5D" w:rsidP="009E2C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"</w:t>
      </w:r>
    </w:p>
    <w:p w:rsidR="00503F6E" w:rsidRPr="00503F6E" w:rsidRDefault="00066B77" w:rsidP="00503F6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3F6E">
        <w:rPr>
          <w:rFonts w:ascii="Times New Roman" w:hAnsi="Times New Roman" w:cs="Times New Roman"/>
          <w:sz w:val="28"/>
          <w:szCs w:val="28"/>
        </w:rPr>
        <w:t xml:space="preserve">  </w:t>
      </w:r>
      <w:r w:rsidR="00503F6E">
        <w:rPr>
          <w:rFonts w:ascii="Times New Roman" w:hAnsi="Times New Roman" w:cs="Times New Roman"/>
          <w:sz w:val="28"/>
          <w:szCs w:val="28"/>
        </w:rPr>
        <w:t xml:space="preserve">      </w:t>
      </w:r>
      <w:r w:rsidR="00CE38F8">
        <w:rPr>
          <w:rFonts w:ascii="Times New Roman" w:hAnsi="Times New Roman" w:cs="Times New Roman"/>
          <w:sz w:val="28"/>
          <w:szCs w:val="28"/>
        </w:rPr>
        <w:t>2</w:t>
      </w:r>
      <w:r w:rsidR="00EA607D" w:rsidRPr="00503F6E">
        <w:rPr>
          <w:rFonts w:ascii="Times New Roman" w:hAnsi="Times New Roman" w:cs="Times New Roman"/>
          <w:sz w:val="28"/>
          <w:szCs w:val="28"/>
        </w:rPr>
        <w:t xml:space="preserve">. </w:t>
      </w:r>
      <w:r w:rsidR="00503F6E" w:rsidRPr="00503F6E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Совета народных депутатов </w:t>
      </w:r>
      <w:proofErr w:type="spellStart"/>
      <w:r w:rsidR="00503F6E" w:rsidRPr="00503F6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03F6E" w:rsidRPr="00503F6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и на официальном сайте Российской Федерации (</w:t>
      </w:r>
      <w:hyperlink r:id="rId10" w:history="1"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3F6E" w:rsidRPr="00503F6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3F6E" w:rsidRPr="00503F6E">
        <w:rPr>
          <w:rFonts w:ascii="Times New Roman" w:hAnsi="Times New Roman" w:cs="Times New Roman"/>
          <w:sz w:val="28"/>
          <w:szCs w:val="28"/>
        </w:rPr>
        <w:t>)</w:t>
      </w:r>
      <w:r w:rsidR="00503F6E" w:rsidRPr="00503F6E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:rsidR="00BB22EB" w:rsidRPr="00FF5597" w:rsidRDefault="00CE38F8" w:rsidP="00503F6E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E11064">
        <w:rPr>
          <w:sz w:val="28"/>
          <w:szCs w:val="28"/>
        </w:rPr>
        <w:t xml:space="preserve">его опубликования. </w:t>
      </w:r>
    </w:p>
    <w:p w:rsidR="006D742E" w:rsidRDefault="006D742E" w:rsidP="00BB22EB">
      <w:pPr>
        <w:ind w:left="300"/>
        <w:jc w:val="both"/>
        <w:rPr>
          <w:sz w:val="28"/>
          <w:szCs w:val="28"/>
        </w:rPr>
      </w:pPr>
    </w:p>
    <w:p w:rsidR="002812DC" w:rsidRDefault="002812DC" w:rsidP="00BB22EB">
      <w:pPr>
        <w:ind w:left="300"/>
        <w:jc w:val="both"/>
        <w:rPr>
          <w:sz w:val="28"/>
          <w:szCs w:val="28"/>
        </w:rPr>
      </w:pPr>
      <w:bookmarkStart w:id="0" w:name="_GoBack"/>
      <w:bookmarkEnd w:id="0"/>
    </w:p>
    <w:p w:rsidR="00214633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proofErr w:type="spellStart"/>
      <w:r w:rsidRPr="00214633">
        <w:rPr>
          <w:sz w:val="28"/>
          <w:szCs w:val="28"/>
        </w:rPr>
        <w:t>Таштагольского</w:t>
      </w:r>
      <w:proofErr w:type="spellEnd"/>
      <w:r w:rsidR="00214633" w:rsidRPr="00214633">
        <w:rPr>
          <w:sz w:val="28"/>
          <w:szCs w:val="28"/>
        </w:rPr>
        <w:t xml:space="preserve"> муниципального района</w:t>
      </w:r>
      <w:r w:rsidR="0092339F">
        <w:rPr>
          <w:sz w:val="28"/>
          <w:szCs w:val="28"/>
        </w:rPr>
        <w:t xml:space="preserve">                                    </w:t>
      </w:r>
      <w:r w:rsidR="00E11064">
        <w:rPr>
          <w:sz w:val="28"/>
          <w:szCs w:val="28"/>
        </w:rPr>
        <w:t xml:space="preserve">  А</w:t>
      </w:r>
      <w:r w:rsidR="00620B0C">
        <w:rPr>
          <w:sz w:val="28"/>
          <w:szCs w:val="28"/>
        </w:rPr>
        <w:t>.А.</w:t>
      </w:r>
      <w:r w:rsidR="0071479C">
        <w:rPr>
          <w:sz w:val="28"/>
          <w:szCs w:val="28"/>
        </w:rPr>
        <w:t xml:space="preserve"> </w:t>
      </w:r>
      <w:r w:rsidR="00620B0C">
        <w:rPr>
          <w:sz w:val="28"/>
          <w:szCs w:val="28"/>
        </w:rPr>
        <w:t>Путинцев</w:t>
      </w:r>
    </w:p>
    <w:p w:rsidR="0021463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92339F" w:rsidRPr="00396773" w:rsidRDefault="0092339F" w:rsidP="00214633">
      <w:pPr>
        <w:tabs>
          <w:tab w:val="left" w:pos="7590"/>
        </w:tabs>
        <w:rPr>
          <w:b/>
          <w:sz w:val="28"/>
          <w:szCs w:val="28"/>
        </w:rPr>
      </w:pPr>
    </w:p>
    <w:p w:rsidR="00214633" w:rsidRPr="00214633" w:rsidRDefault="009E2C5D" w:rsidP="002146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14633" w:rsidRPr="002146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4633" w:rsidRPr="00214633">
        <w:rPr>
          <w:sz w:val="28"/>
          <w:szCs w:val="28"/>
        </w:rPr>
        <w:t xml:space="preserve"> Таштагольского</w:t>
      </w:r>
      <w:r w:rsidR="00E11064">
        <w:rPr>
          <w:sz w:val="28"/>
          <w:szCs w:val="28"/>
        </w:rPr>
        <w:t xml:space="preserve">  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</w:t>
      </w:r>
      <w:r w:rsidR="0092339F">
        <w:rPr>
          <w:sz w:val="28"/>
          <w:szCs w:val="28"/>
        </w:rPr>
        <w:t xml:space="preserve">           </w:t>
      </w:r>
      <w:r w:rsidRPr="00214633">
        <w:rPr>
          <w:sz w:val="28"/>
          <w:szCs w:val="28"/>
        </w:rPr>
        <w:t xml:space="preserve">    </w:t>
      </w:r>
      <w:r w:rsidR="00214633" w:rsidRPr="00214633">
        <w:rPr>
          <w:sz w:val="28"/>
          <w:szCs w:val="28"/>
        </w:rPr>
        <w:t xml:space="preserve">              </w:t>
      </w:r>
      <w:r w:rsidR="00214633">
        <w:rPr>
          <w:sz w:val="28"/>
          <w:szCs w:val="28"/>
        </w:rPr>
        <w:t xml:space="preserve">  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</w:t>
      </w:r>
      <w:r w:rsidR="00E11064">
        <w:rPr>
          <w:sz w:val="28"/>
          <w:szCs w:val="28"/>
        </w:rPr>
        <w:t xml:space="preserve">             </w:t>
      </w:r>
      <w:r w:rsidR="00214633" w:rsidRPr="00214633">
        <w:rPr>
          <w:sz w:val="28"/>
          <w:szCs w:val="28"/>
        </w:rPr>
        <w:t xml:space="preserve">      </w:t>
      </w:r>
      <w:r w:rsidR="009E2C5D">
        <w:rPr>
          <w:sz w:val="28"/>
          <w:szCs w:val="28"/>
        </w:rPr>
        <w:t>А.Г.Орлов</w:t>
      </w:r>
    </w:p>
    <w:sectPr w:rsidR="00341402" w:rsidRPr="00214633" w:rsidSect="001B2350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61" w:rsidRDefault="00EB5961" w:rsidP="00FB3F11">
      <w:r>
        <w:separator/>
      </w:r>
    </w:p>
  </w:endnote>
  <w:endnote w:type="continuationSeparator" w:id="0">
    <w:p w:rsidR="00EB5961" w:rsidRDefault="00EB5961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61" w:rsidRDefault="00EB5961" w:rsidP="00FB3F11">
      <w:r>
        <w:separator/>
      </w:r>
    </w:p>
  </w:footnote>
  <w:footnote w:type="continuationSeparator" w:id="0">
    <w:p w:rsidR="00EB5961" w:rsidRDefault="00EB5961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02D"/>
    <w:rsid w:val="00006E43"/>
    <w:rsid w:val="00023971"/>
    <w:rsid w:val="000404C0"/>
    <w:rsid w:val="00064407"/>
    <w:rsid w:val="00066B77"/>
    <w:rsid w:val="000A2928"/>
    <w:rsid w:val="000A3151"/>
    <w:rsid w:val="000B7739"/>
    <w:rsid w:val="000D2DAC"/>
    <w:rsid w:val="0010611B"/>
    <w:rsid w:val="00106343"/>
    <w:rsid w:val="00112D2D"/>
    <w:rsid w:val="0015271F"/>
    <w:rsid w:val="001620ED"/>
    <w:rsid w:val="0016287D"/>
    <w:rsid w:val="0017109D"/>
    <w:rsid w:val="00175C44"/>
    <w:rsid w:val="001856D6"/>
    <w:rsid w:val="001A3CE0"/>
    <w:rsid w:val="001A7155"/>
    <w:rsid w:val="001B2350"/>
    <w:rsid w:val="001B745A"/>
    <w:rsid w:val="001F5372"/>
    <w:rsid w:val="001F6926"/>
    <w:rsid w:val="00214633"/>
    <w:rsid w:val="00221EFA"/>
    <w:rsid w:val="00222E9F"/>
    <w:rsid w:val="00252AAD"/>
    <w:rsid w:val="002812DC"/>
    <w:rsid w:val="00281D88"/>
    <w:rsid w:val="0029410F"/>
    <w:rsid w:val="002A7DBF"/>
    <w:rsid w:val="002B710B"/>
    <w:rsid w:val="002C429C"/>
    <w:rsid w:val="002D1690"/>
    <w:rsid w:val="00314578"/>
    <w:rsid w:val="0032102D"/>
    <w:rsid w:val="00341402"/>
    <w:rsid w:val="00343AF4"/>
    <w:rsid w:val="00374006"/>
    <w:rsid w:val="00396773"/>
    <w:rsid w:val="00397E19"/>
    <w:rsid w:val="003A5226"/>
    <w:rsid w:val="003A61A9"/>
    <w:rsid w:val="003A7F2E"/>
    <w:rsid w:val="003B3CEC"/>
    <w:rsid w:val="003C347B"/>
    <w:rsid w:val="003D7343"/>
    <w:rsid w:val="003F3D2A"/>
    <w:rsid w:val="0041601D"/>
    <w:rsid w:val="00430DD4"/>
    <w:rsid w:val="0043616F"/>
    <w:rsid w:val="004522DF"/>
    <w:rsid w:val="004755EA"/>
    <w:rsid w:val="004759BF"/>
    <w:rsid w:val="00481DDB"/>
    <w:rsid w:val="00485BC5"/>
    <w:rsid w:val="004955A5"/>
    <w:rsid w:val="004E535E"/>
    <w:rsid w:val="00503F6E"/>
    <w:rsid w:val="00511209"/>
    <w:rsid w:val="0056540F"/>
    <w:rsid w:val="005758CD"/>
    <w:rsid w:val="005766AF"/>
    <w:rsid w:val="005767B1"/>
    <w:rsid w:val="005905EF"/>
    <w:rsid w:val="005E1FD4"/>
    <w:rsid w:val="005F5732"/>
    <w:rsid w:val="00603254"/>
    <w:rsid w:val="00610757"/>
    <w:rsid w:val="006163AF"/>
    <w:rsid w:val="00620B0C"/>
    <w:rsid w:val="00631508"/>
    <w:rsid w:val="00636AB0"/>
    <w:rsid w:val="0064469A"/>
    <w:rsid w:val="00667CE9"/>
    <w:rsid w:val="00671C69"/>
    <w:rsid w:val="006B6D15"/>
    <w:rsid w:val="006D4ACE"/>
    <w:rsid w:val="006D742E"/>
    <w:rsid w:val="0071479C"/>
    <w:rsid w:val="00743360"/>
    <w:rsid w:val="007550D4"/>
    <w:rsid w:val="007610EC"/>
    <w:rsid w:val="00765594"/>
    <w:rsid w:val="00773FA9"/>
    <w:rsid w:val="0077511A"/>
    <w:rsid w:val="007816BC"/>
    <w:rsid w:val="007B538B"/>
    <w:rsid w:val="007D2576"/>
    <w:rsid w:val="008019C3"/>
    <w:rsid w:val="00807E1B"/>
    <w:rsid w:val="00840530"/>
    <w:rsid w:val="008525F4"/>
    <w:rsid w:val="00877FCE"/>
    <w:rsid w:val="008811F6"/>
    <w:rsid w:val="0089700C"/>
    <w:rsid w:val="008A6E64"/>
    <w:rsid w:val="008D6302"/>
    <w:rsid w:val="00900E7B"/>
    <w:rsid w:val="00910B89"/>
    <w:rsid w:val="009117CD"/>
    <w:rsid w:val="00917ABE"/>
    <w:rsid w:val="00917B36"/>
    <w:rsid w:val="0092339F"/>
    <w:rsid w:val="00971E18"/>
    <w:rsid w:val="009C3A5D"/>
    <w:rsid w:val="009C7E6E"/>
    <w:rsid w:val="009E2C5D"/>
    <w:rsid w:val="009F0FFD"/>
    <w:rsid w:val="00A243AD"/>
    <w:rsid w:val="00A31AFE"/>
    <w:rsid w:val="00A42A98"/>
    <w:rsid w:val="00A472AF"/>
    <w:rsid w:val="00A50D13"/>
    <w:rsid w:val="00A556B0"/>
    <w:rsid w:val="00A66586"/>
    <w:rsid w:val="00A948A3"/>
    <w:rsid w:val="00A9555D"/>
    <w:rsid w:val="00AB548F"/>
    <w:rsid w:val="00AC5FAB"/>
    <w:rsid w:val="00AE049A"/>
    <w:rsid w:val="00AE6C18"/>
    <w:rsid w:val="00AE7145"/>
    <w:rsid w:val="00AF12F3"/>
    <w:rsid w:val="00B11FE4"/>
    <w:rsid w:val="00B31F17"/>
    <w:rsid w:val="00B45465"/>
    <w:rsid w:val="00B527F3"/>
    <w:rsid w:val="00B92A52"/>
    <w:rsid w:val="00BA7611"/>
    <w:rsid w:val="00BB22EB"/>
    <w:rsid w:val="00BD12C3"/>
    <w:rsid w:val="00BE7055"/>
    <w:rsid w:val="00BF089F"/>
    <w:rsid w:val="00C1140E"/>
    <w:rsid w:val="00C13B3A"/>
    <w:rsid w:val="00C25D83"/>
    <w:rsid w:val="00C43C72"/>
    <w:rsid w:val="00C52215"/>
    <w:rsid w:val="00C74DA3"/>
    <w:rsid w:val="00C960E0"/>
    <w:rsid w:val="00CD3F75"/>
    <w:rsid w:val="00CE38F8"/>
    <w:rsid w:val="00D128E9"/>
    <w:rsid w:val="00D409E2"/>
    <w:rsid w:val="00D410FA"/>
    <w:rsid w:val="00D65874"/>
    <w:rsid w:val="00D95211"/>
    <w:rsid w:val="00DB466A"/>
    <w:rsid w:val="00DB7920"/>
    <w:rsid w:val="00E0789C"/>
    <w:rsid w:val="00E11064"/>
    <w:rsid w:val="00E12A1F"/>
    <w:rsid w:val="00E27483"/>
    <w:rsid w:val="00E51A94"/>
    <w:rsid w:val="00E53379"/>
    <w:rsid w:val="00E565F5"/>
    <w:rsid w:val="00E71D0C"/>
    <w:rsid w:val="00E8266D"/>
    <w:rsid w:val="00EA1DAC"/>
    <w:rsid w:val="00EA42DB"/>
    <w:rsid w:val="00EA607D"/>
    <w:rsid w:val="00EB266B"/>
    <w:rsid w:val="00EB5961"/>
    <w:rsid w:val="00EC4C5F"/>
    <w:rsid w:val="00EC633F"/>
    <w:rsid w:val="00F22876"/>
    <w:rsid w:val="00F276BD"/>
    <w:rsid w:val="00F3719C"/>
    <w:rsid w:val="00F40FE3"/>
    <w:rsid w:val="00F437C7"/>
    <w:rsid w:val="00F56D12"/>
    <w:rsid w:val="00F96DFC"/>
    <w:rsid w:val="00FB3F11"/>
    <w:rsid w:val="00FF405C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AFE"/>
    <w:rPr>
      <w:sz w:val="24"/>
      <w:szCs w:val="24"/>
    </w:rPr>
  </w:style>
  <w:style w:type="paragraph" w:styleId="1">
    <w:name w:val="heading 1"/>
    <w:basedOn w:val="a"/>
    <w:next w:val="a"/>
    <w:qFormat/>
    <w:rsid w:val="00A31AF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31A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31AF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31AFE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A31AFE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AFE"/>
    <w:pPr>
      <w:jc w:val="both"/>
    </w:pPr>
    <w:rPr>
      <w:sz w:val="20"/>
    </w:rPr>
  </w:style>
  <w:style w:type="paragraph" w:styleId="20">
    <w:name w:val="Body Text 2"/>
    <w:basedOn w:val="a"/>
    <w:rsid w:val="00A31AFE"/>
    <w:pPr>
      <w:ind w:right="-171"/>
    </w:pPr>
  </w:style>
  <w:style w:type="paragraph" w:styleId="30">
    <w:name w:val="Body Text 3"/>
    <w:basedOn w:val="a"/>
    <w:rsid w:val="00A31AFE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  <w:style w:type="paragraph" w:styleId="ae">
    <w:name w:val="List Paragraph"/>
    <w:basedOn w:val="a"/>
    <w:uiPriority w:val="34"/>
    <w:qFormat/>
    <w:rsid w:val="009E2C5D"/>
    <w:pPr>
      <w:ind w:left="720"/>
      <w:contextualSpacing/>
    </w:pPr>
  </w:style>
  <w:style w:type="character" w:styleId="af">
    <w:name w:val="Hyperlink"/>
    <w:rsid w:val="00503F6E"/>
    <w:rPr>
      <w:color w:val="0000FF"/>
      <w:u w:val="single"/>
    </w:rPr>
  </w:style>
  <w:style w:type="paragraph" w:customStyle="1" w:styleId="ConsPlusNormal">
    <w:name w:val="ConsPlusNormal"/>
    <w:rsid w:val="00503F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A239-EFC1-47A9-A593-98848620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cp:lastModifiedBy>sovet</cp:lastModifiedBy>
  <cp:revision>8</cp:revision>
  <cp:lastPrinted>2025-02-18T09:10:00Z</cp:lastPrinted>
  <dcterms:created xsi:type="dcterms:W3CDTF">2025-02-06T02:42:00Z</dcterms:created>
  <dcterms:modified xsi:type="dcterms:W3CDTF">2025-02-18T09:10:00Z</dcterms:modified>
</cp:coreProperties>
</file>