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37"/>
        <w:gridCol w:w="5883"/>
        <w:gridCol w:w="1859"/>
        <w:gridCol w:w="1187"/>
        <w:gridCol w:w="641"/>
        <w:gridCol w:w="181"/>
      </w:tblGrid>
      <w:tr w:rsidR="00E62BF5" w:rsidRPr="0077768A" w:rsidTr="00983A9C">
        <w:trPr>
          <w:gridBefore w:val="1"/>
          <w:wBefore w:w="637" w:type="dxa"/>
          <w:trHeight w:val="375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D76907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028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BD3612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8E02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bookmarkStart w:id="0" w:name="_GoBack"/>
            <w:bookmarkEnd w:id="0"/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DA7D72" w:rsidRPr="00983A9C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62BF5" w:rsidRPr="0077768A" w:rsidRDefault="00D76907" w:rsidP="00D7690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7D72" w:rsidRPr="00DA7D7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DA7D72" w:rsidRPr="00DA7D72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FA27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7D72" w:rsidRPr="00DA7D72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  <w:r w:rsidR="00DA7D72" w:rsidRPr="00DA7D72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</w:p>
        </w:tc>
      </w:tr>
      <w:tr w:rsidR="00E62BF5" w:rsidRPr="0077768A" w:rsidTr="00983A9C">
        <w:trPr>
          <w:gridAfter w:val="2"/>
          <w:wAfter w:w="822" w:type="dxa"/>
          <w:trHeight w:val="375"/>
        </w:trPr>
        <w:tc>
          <w:tcPr>
            <w:tcW w:w="9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F5" w:rsidRPr="0077768A" w:rsidRDefault="00BD3612" w:rsidP="0026132A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коды целевы</w:t>
            </w:r>
            <w:r w:rsidR="00AA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 статей расходов бюджета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022F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Таштагольского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="007427A7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6F265F" w:rsidRPr="0077768A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9C" w:rsidRPr="00081067" w:rsidRDefault="00983A9C" w:rsidP="00983A9C">
            <w:pPr>
              <w:spacing w:after="0" w:line="240" w:lineRule="auto"/>
              <w:ind w:hanging="6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Программная (непрограммная) статья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обеспечение льготным питание детей-сирот и детей,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015P1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700">
              <w:rPr>
                <w:rFonts w:ascii="Times New Roman" w:eastAsia="Times New Roman" w:hAnsi="Times New Roman" w:cs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4E9">
              <w:rPr>
                <w:rFonts w:ascii="Times New Roman" w:eastAsia="Times New Roman" w:hAnsi="Times New Roman" w:cs="Times New Roman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F224E9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капитальному ремонту и оснащению образовательных учреждений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038EE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3750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016EВ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01900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01900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E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"Борьба с преступностью"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«Система обеспечения вызова экстренных оперативных служб»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7DE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1447DE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"Антитеррор"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AC4ECA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L4970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</w:tr>
      <w:tr w:rsidR="00983A9C" w:rsidRPr="00E025FC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 числа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214A1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221P5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27100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038EE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"Шерегеш"</w:t>
            </w:r>
          </w:p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038EE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038EE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субъектов Российской Федерации для создания инженерной и транспортной инфраструктуры в целях развития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285J1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"Поддержка жилищно-коммунального хозяйства"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28610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9Т010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28620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28730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9Т010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9Д010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9Д210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983A9C">
            <w:pPr>
              <w:spacing w:after="0" w:line="240" w:lineRule="auto"/>
              <w:rPr>
                <w:szCs w:val="28"/>
              </w:rPr>
            </w:pPr>
            <w:r w:rsidRPr="00B5799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szCs w:val="28"/>
              </w:rPr>
            </w:pPr>
            <w:r w:rsidRPr="00341AFC">
              <w:rPr>
                <w:szCs w:val="28"/>
              </w:rPr>
              <w:t>9Д810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7C3172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99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9C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F02A52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983A9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Д100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83A9C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9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34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341AFC" w:rsidRPr="00341A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szCs w:val="28"/>
              </w:rPr>
            </w:pPr>
            <w:r w:rsidRPr="00341AFC">
              <w:rPr>
                <w:szCs w:val="28"/>
              </w:rPr>
              <w:t>9Д410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9C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F02A52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83A9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Д100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Муниципальная программа "Охрана окружающей среды"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 на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F85">
              <w:rPr>
                <w:rFonts w:ascii="Times New Roman" w:eastAsia="Times New Roman" w:hAnsi="Times New Roman" w:cs="Times New Roman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81F85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S079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34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</w:tr>
    </w:tbl>
    <w:p w:rsidR="00983A9C" w:rsidRPr="00E025FC" w:rsidRDefault="00983A9C" w:rsidP="00983A9C">
      <w:pPr>
        <w:rPr>
          <w:rFonts w:ascii="Times New Roman" w:hAnsi="Times New Roman" w:cs="Times New Roman"/>
        </w:rPr>
      </w:pPr>
    </w:p>
    <w:p w:rsidR="00E62BF5" w:rsidRPr="006C5FA2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6C5FA2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78" w:rsidRDefault="00C24778" w:rsidP="00B35032">
      <w:pPr>
        <w:spacing w:after="0" w:line="240" w:lineRule="auto"/>
      </w:pPr>
      <w:r>
        <w:separator/>
      </w:r>
    </w:p>
  </w:endnote>
  <w:endnote w:type="continuationSeparator" w:id="0">
    <w:p w:rsidR="00C24778" w:rsidRDefault="00C24778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D3" w:rsidRDefault="00441AD3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028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78" w:rsidRDefault="00C24778" w:rsidP="00B35032">
      <w:pPr>
        <w:spacing w:after="0" w:line="240" w:lineRule="auto"/>
      </w:pPr>
      <w:r>
        <w:separator/>
      </w:r>
    </w:p>
  </w:footnote>
  <w:footnote w:type="continuationSeparator" w:id="0">
    <w:p w:rsidR="00C24778" w:rsidRDefault="00C24778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0F1560"/>
    <w:rsid w:val="001365D2"/>
    <w:rsid w:val="00150346"/>
    <w:rsid w:val="001533E6"/>
    <w:rsid w:val="00184DBE"/>
    <w:rsid w:val="00187C50"/>
    <w:rsid w:val="00193862"/>
    <w:rsid w:val="001A6624"/>
    <w:rsid w:val="001A721F"/>
    <w:rsid w:val="001B02B7"/>
    <w:rsid w:val="001C75FC"/>
    <w:rsid w:val="001D0904"/>
    <w:rsid w:val="001D5126"/>
    <w:rsid w:val="001D5C5C"/>
    <w:rsid w:val="0021772E"/>
    <w:rsid w:val="00237A0D"/>
    <w:rsid w:val="00245618"/>
    <w:rsid w:val="0026132A"/>
    <w:rsid w:val="00275C66"/>
    <w:rsid w:val="002A69C0"/>
    <w:rsid w:val="002B44DB"/>
    <w:rsid w:val="002D3E1E"/>
    <w:rsid w:val="002D5D98"/>
    <w:rsid w:val="002E7CAC"/>
    <w:rsid w:val="002F0EF1"/>
    <w:rsid w:val="002F147F"/>
    <w:rsid w:val="002F5542"/>
    <w:rsid w:val="00312266"/>
    <w:rsid w:val="00334F96"/>
    <w:rsid w:val="0033636B"/>
    <w:rsid w:val="00341AFC"/>
    <w:rsid w:val="00360259"/>
    <w:rsid w:val="00382987"/>
    <w:rsid w:val="0039420F"/>
    <w:rsid w:val="0039444E"/>
    <w:rsid w:val="003A6298"/>
    <w:rsid w:val="003D2A2F"/>
    <w:rsid w:val="003F7693"/>
    <w:rsid w:val="004009AE"/>
    <w:rsid w:val="00413734"/>
    <w:rsid w:val="004167FC"/>
    <w:rsid w:val="004269E6"/>
    <w:rsid w:val="00431010"/>
    <w:rsid w:val="004330C9"/>
    <w:rsid w:val="00434A79"/>
    <w:rsid w:val="00441AD3"/>
    <w:rsid w:val="004421A2"/>
    <w:rsid w:val="00442D65"/>
    <w:rsid w:val="004445BF"/>
    <w:rsid w:val="00450198"/>
    <w:rsid w:val="004568EC"/>
    <w:rsid w:val="004643CA"/>
    <w:rsid w:val="004819DB"/>
    <w:rsid w:val="0048451D"/>
    <w:rsid w:val="00490795"/>
    <w:rsid w:val="004914E1"/>
    <w:rsid w:val="004A1962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4A81"/>
    <w:rsid w:val="00577291"/>
    <w:rsid w:val="005A050B"/>
    <w:rsid w:val="005B2730"/>
    <w:rsid w:val="005B3A6F"/>
    <w:rsid w:val="005C1789"/>
    <w:rsid w:val="005C763C"/>
    <w:rsid w:val="005E04AC"/>
    <w:rsid w:val="005E209D"/>
    <w:rsid w:val="005F1532"/>
    <w:rsid w:val="006034AF"/>
    <w:rsid w:val="00605D8F"/>
    <w:rsid w:val="006122AD"/>
    <w:rsid w:val="006173B5"/>
    <w:rsid w:val="00621D63"/>
    <w:rsid w:val="00634D0D"/>
    <w:rsid w:val="00641E61"/>
    <w:rsid w:val="00656749"/>
    <w:rsid w:val="0065779B"/>
    <w:rsid w:val="006814DD"/>
    <w:rsid w:val="00687867"/>
    <w:rsid w:val="00693EDF"/>
    <w:rsid w:val="00696C9B"/>
    <w:rsid w:val="006C1B53"/>
    <w:rsid w:val="006C28C9"/>
    <w:rsid w:val="006C5FA2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37E69"/>
    <w:rsid w:val="007427A7"/>
    <w:rsid w:val="00746B5B"/>
    <w:rsid w:val="007576B1"/>
    <w:rsid w:val="0077768A"/>
    <w:rsid w:val="007A6168"/>
    <w:rsid w:val="007C3172"/>
    <w:rsid w:val="007C36A3"/>
    <w:rsid w:val="007E7D4E"/>
    <w:rsid w:val="007F5D46"/>
    <w:rsid w:val="007F625D"/>
    <w:rsid w:val="0080426C"/>
    <w:rsid w:val="0082022F"/>
    <w:rsid w:val="00897DED"/>
    <w:rsid w:val="008C3519"/>
    <w:rsid w:val="008C6DF8"/>
    <w:rsid w:val="008D7629"/>
    <w:rsid w:val="008D7B9A"/>
    <w:rsid w:val="008E0281"/>
    <w:rsid w:val="008F317D"/>
    <w:rsid w:val="00912FF7"/>
    <w:rsid w:val="00915666"/>
    <w:rsid w:val="00945197"/>
    <w:rsid w:val="0096215F"/>
    <w:rsid w:val="00983A9C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776C5"/>
    <w:rsid w:val="00A84291"/>
    <w:rsid w:val="00AA3F00"/>
    <w:rsid w:val="00AA4D25"/>
    <w:rsid w:val="00B13D0B"/>
    <w:rsid w:val="00B35032"/>
    <w:rsid w:val="00B36F11"/>
    <w:rsid w:val="00B42999"/>
    <w:rsid w:val="00B45744"/>
    <w:rsid w:val="00B4641B"/>
    <w:rsid w:val="00B57991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030DC"/>
    <w:rsid w:val="00C17D63"/>
    <w:rsid w:val="00C24778"/>
    <w:rsid w:val="00C251AD"/>
    <w:rsid w:val="00C4725D"/>
    <w:rsid w:val="00C660CC"/>
    <w:rsid w:val="00C67A07"/>
    <w:rsid w:val="00C85F48"/>
    <w:rsid w:val="00CB2A60"/>
    <w:rsid w:val="00CB3491"/>
    <w:rsid w:val="00CF7B85"/>
    <w:rsid w:val="00D20AEC"/>
    <w:rsid w:val="00D234AA"/>
    <w:rsid w:val="00D36729"/>
    <w:rsid w:val="00D37E47"/>
    <w:rsid w:val="00D475AC"/>
    <w:rsid w:val="00D76907"/>
    <w:rsid w:val="00D902EA"/>
    <w:rsid w:val="00D97C50"/>
    <w:rsid w:val="00DA359F"/>
    <w:rsid w:val="00DA7D72"/>
    <w:rsid w:val="00DC25BE"/>
    <w:rsid w:val="00DE531D"/>
    <w:rsid w:val="00DF6041"/>
    <w:rsid w:val="00E046EC"/>
    <w:rsid w:val="00E06434"/>
    <w:rsid w:val="00E2218D"/>
    <w:rsid w:val="00E22E93"/>
    <w:rsid w:val="00E25956"/>
    <w:rsid w:val="00E33546"/>
    <w:rsid w:val="00E53A2F"/>
    <w:rsid w:val="00E62BF5"/>
    <w:rsid w:val="00E83E62"/>
    <w:rsid w:val="00E87016"/>
    <w:rsid w:val="00E96A5D"/>
    <w:rsid w:val="00EA2970"/>
    <w:rsid w:val="00EB7256"/>
    <w:rsid w:val="00EB7396"/>
    <w:rsid w:val="00ED002C"/>
    <w:rsid w:val="00ED196C"/>
    <w:rsid w:val="00EE00FF"/>
    <w:rsid w:val="00EF2FCA"/>
    <w:rsid w:val="00F06FE7"/>
    <w:rsid w:val="00F11B29"/>
    <w:rsid w:val="00F12E31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85B64"/>
    <w:rsid w:val="00F95798"/>
    <w:rsid w:val="00FA27CE"/>
    <w:rsid w:val="00FD082B"/>
    <w:rsid w:val="00FD0DA2"/>
    <w:rsid w:val="00FD0DE3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rsid w:val="003D2A2F"/>
    <w:rPr>
      <w:color w:val="0000FF"/>
      <w:u w:val="single"/>
    </w:rPr>
  </w:style>
  <w:style w:type="character" w:styleId="aa">
    <w:name w:val="FollowedHyperlink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5463</Words>
  <Characters>31141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cp:lastModifiedBy>sovet</cp:lastModifiedBy>
  <cp:revision>3</cp:revision>
  <cp:lastPrinted>2020-11-06T10:23:00Z</cp:lastPrinted>
  <dcterms:created xsi:type="dcterms:W3CDTF">2024-11-28T08:02:00Z</dcterms:created>
  <dcterms:modified xsi:type="dcterms:W3CDTF">2024-11-28T08:13:00Z</dcterms:modified>
</cp:coreProperties>
</file>