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D8537B" w:rsidRPr="00E61A15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804B8F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20D56" w:rsidRPr="00420D56">
        <w:rPr>
          <w:rFonts w:ascii="Times New Roman" w:hAnsi="Times New Roman" w:cs="Times New Roman"/>
          <w:sz w:val="24"/>
          <w:szCs w:val="24"/>
        </w:rPr>
        <w:t xml:space="preserve"> 16</w:t>
      </w:r>
      <w:r w:rsidR="005C016C" w:rsidRPr="00D8537B">
        <w:rPr>
          <w:rFonts w:ascii="Times New Roman" w:hAnsi="Times New Roman" w:cs="Times New Roman"/>
          <w:sz w:val="24"/>
          <w:szCs w:val="24"/>
        </w:rPr>
        <w:t xml:space="preserve"> </w:t>
      </w:r>
      <w:r w:rsidR="00344620">
        <w:rPr>
          <w:rFonts w:ascii="Times New Roman" w:hAnsi="Times New Roman" w:cs="Times New Roman"/>
          <w:sz w:val="24"/>
          <w:szCs w:val="24"/>
        </w:rPr>
        <w:t xml:space="preserve"> </w:t>
      </w:r>
      <w:r w:rsidR="00DA6931">
        <w:rPr>
          <w:rFonts w:ascii="Times New Roman" w:hAnsi="Times New Roman" w:cs="Times New Roman"/>
          <w:sz w:val="24"/>
          <w:szCs w:val="24"/>
        </w:rPr>
        <w:t xml:space="preserve">июля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344620">
        <w:rPr>
          <w:rFonts w:ascii="Times New Roman" w:hAnsi="Times New Roman" w:cs="Times New Roman"/>
          <w:sz w:val="24"/>
          <w:szCs w:val="24"/>
        </w:rPr>
        <w:t>4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A6931">
        <w:rPr>
          <w:rFonts w:ascii="Times New Roman" w:hAnsi="Times New Roman" w:cs="Times New Roman"/>
          <w:sz w:val="24"/>
          <w:szCs w:val="24"/>
        </w:rPr>
        <w:t xml:space="preserve"> </w:t>
      </w:r>
      <w:r w:rsidR="00420D56" w:rsidRPr="00420D56">
        <w:rPr>
          <w:rFonts w:ascii="Times New Roman" w:hAnsi="Times New Roman" w:cs="Times New Roman"/>
          <w:sz w:val="24"/>
          <w:szCs w:val="24"/>
        </w:rPr>
        <w:t>63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344620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344620">
        <w:rPr>
          <w:rFonts w:ascii="Times New Roman" w:hAnsi="Times New Roman" w:cs="Times New Roman"/>
          <w:sz w:val="24"/>
          <w:szCs w:val="24"/>
        </w:rPr>
        <w:t>3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</w:t>
      </w:r>
      <w:r w:rsidR="00FA5D3C" w:rsidRPr="009532A8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420D56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5035"/>
        <w:gridCol w:w="1055"/>
        <w:gridCol w:w="1324"/>
        <w:gridCol w:w="1197"/>
        <w:gridCol w:w="1220"/>
        <w:gridCol w:w="693"/>
        <w:gridCol w:w="1706"/>
        <w:gridCol w:w="1655"/>
        <w:gridCol w:w="1655"/>
      </w:tblGrid>
      <w:tr w:rsidR="00420D56" w:rsidRPr="00420D56" w:rsidTr="00420D56">
        <w:trPr>
          <w:trHeight w:val="225"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20D56" w:rsidRPr="00420D56" w:rsidTr="00420D56">
        <w:trPr>
          <w:trHeight w:val="1125"/>
        </w:trPr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20D56" w:rsidRPr="00420D56" w:rsidTr="00420D56">
        <w:trPr>
          <w:trHeight w:val="19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1 604 627,99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1 517 352,21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1 497 117,87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3 688,76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2 863,64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1 179,96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1 074,04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420D56" w:rsidRPr="00420D56" w:rsidTr="00420D56">
        <w:trPr>
          <w:trHeight w:val="15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867,85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867,85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34 389,86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34 389,86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31 189,86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31 189,86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76 951,73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85 657,53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85 857,53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420D56" w:rsidRPr="00420D56" w:rsidTr="00420D56">
        <w:trPr>
          <w:trHeight w:val="18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5 006,70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5 006,70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4 629,90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4 629,90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3 553,55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3 280,90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1 073,35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420D56" w:rsidRPr="00420D56" w:rsidTr="00420D56">
        <w:trPr>
          <w:trHeight w:val="20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49 967,20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420D56" w:rsidRPr="00420D56" w:rsidTr="00420D56">
        <w:trPr>
          <w:trHeight w:val="15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1 315 489,89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1 246 666,00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1 226 525,26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274 668,06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246 348,61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240 142,22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50 450,32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47 227,12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47 214,12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50 450,32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47 227,12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47 214,12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38 748,28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36 187,38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36 174,38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11 702,04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15 506,73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15 506,73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5 185,97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9 820,66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208 301,98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188 389,76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185 708,10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208 271,98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188 389,76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185 708,10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75 562,91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47 298,46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35 090,08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14 484,01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3 079,08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14 484,01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3 079,08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10 818,01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3 425,41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60 884,39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43 833,15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32 011,00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59 720,34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43 833,15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32 011,00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1 164,05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77 534,63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69 707,90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77 534,63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76 984,63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5 850,59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3 380,10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5 828,42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5 828,42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1 084,82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4 728,37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4 299,25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277 237,20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280 676,20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280 676,20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58 564,12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58 564,12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44 980,11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45 522,55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45 522,55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13 584,01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13 747,83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13 747,83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218 452,62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218 095,22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220 812,96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220 812,96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420D56" w:rsidRPr="00420D56" w:rsidTr="00420D56">
        <w:trPr>
          <w:trHeight w:val="11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541 415,10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547 941,40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547 941,40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145 669,79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145 669,79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111 881,56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113 230,80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113 230,80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33 788,23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34 195,70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34 195,70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395 064,21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399 703,75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399 703,75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388 721,12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393 237,20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393 237,20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6 343,09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420D56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45 141,70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6 709,16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6 709,16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38 432,54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38 432,54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971,49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11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6 437,58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11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4 595,13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4 595,13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5 554,65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166,60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5 159,65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5 159,65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5 065,20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4 366,44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5 470,20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5 470,20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</w:tr>
      <w:tr w:rsidR="00420D56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3 984,10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420D56" w:rsidRPr="00420D56" w:rsidTr="00420D56">
        <w:trPr>
          <w:trHeight w:val="11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146 867,54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127 492,01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127 776,44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9 466,05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7 406,05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9 919,92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7 892,07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7 892,07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7 822,07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5 161,87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3 797,00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3 608,60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3 608,60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2 604,30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786,70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27 813,70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23 120,17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21 273,60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21 567,18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21 567,18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16 564,68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6 198,29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6 198,29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5 027,80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1 775,17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220,20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51 764,41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46 606,73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46 394,50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37 047,42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35 200,92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35 200,92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11 138,58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10 630,68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10 630,68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3 437,29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3 437,29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1 947,21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533,90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52 661,51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46 391,42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52 661,51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46 391,42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52 661,51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46 391,42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36 601,93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42 765,97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8 969,50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15 474,50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9 097,23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3 281,49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2 011,19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2 011,19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2 011,19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8 089,50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8 089,50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6 347,00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6 165,40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6 165,40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2 010,10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4 790,43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311 138,30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250 770,20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250 506,20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30 310,26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3 046,60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2 782,60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420D56" w:rsidRPr="00420D56" w:rsidTr="00420D56">
        <w:trPr>
          <w:trHeight w:val="11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 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15 994,26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15 994,26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15 994,26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15 994,26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420D56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</w:tr>
      <w:tr w:rsidR="00420D56" w:rsidRPr="00420D56" w:rsidTr="00420D56">
        <w:trPr>
          <w:trHeight w:val="11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233 687,30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208 304,40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208 304,40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8 127,30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8 127,30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1 881,90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4 243,20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4 243,20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1 154,41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1 154,41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11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62 631,40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61 132,80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61 132,80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53 854,90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53 854,90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41 394,38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41 892,74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41 892,74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12 410,52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12 561,06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12 561,06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8 768,90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8 768,90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6 657,90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420D56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145 979,30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146 980,60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146 980,60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140 560,74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140 560,74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108 067,64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109 369,02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109 369,02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32 440,16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32 833,18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32 833,18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5 391,70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5 391,70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7 451,60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1 266,30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1 960,10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1 960,10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1 960,10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2 574,87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38 161,00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38 161,00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36 340,49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36 340,49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27 893,87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28 229,98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28 229,98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8 393,73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8 495,22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8 495,22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1 804,73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1 804,73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627,67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5 979,74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5 979,74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871,21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29 513,12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12 683,88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29 513,12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12 683,88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28 593,12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21 848,62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20 988,62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58 321,20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12 858,10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10 968,40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47 012,60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1 635,00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47 012,60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1 635,00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1 483,90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16 400,60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16 400,60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15 921,60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785,00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11 033,60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9 233,40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11 033,60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9 233,40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9 773,30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9 773,30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7 475,70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7 024,90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7 024,90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2 121,50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710 781,92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170 216,31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67 564,60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549 296,93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3 730,10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3 330,10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0D56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56" w:rsidRPr="00420D56" w:rsidRDefault="00420D56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714C9" w:rsidRPr="00420D56" w:rsidTr="00A04FD2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714C9" w:rsidRPr="00420D56" w:rsidTr="00A04FD2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714C9" w:rsidRPr="00420D56" w:rsidTr="00A04FD2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714C9" w:rsidRPr="00420D56" w:rsidTr="00A04FD2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714C9" w:rsidRPr="00420D56" w:rsidTr="001714C9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714C9" w:rsidRPr="00420D56" w:rsidTr="001714C9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714C9" w:rsidRPr="00420D56" w:rsidTr="001714C9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714C9" w:rsidRPr="00420D56" w:rsidTr="001714C9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C9" w:rsidRPr="00420D56" w:rsidRDefault="001714C9" w:rsidP="004162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35 235,64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54 130,49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54 130,60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25 388,48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44 553,43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25 388,48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25 388,48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25 388,48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9 547,16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113 083,50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10 456,08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8 303,90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8 303,90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9 561,20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714C9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15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1 676,10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739,80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480,24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145,16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287 946,61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235 431,46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227 907,58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262 240,37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234 829,74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227 556,50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2 303,10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2 414,10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2 414,10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1 846,50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1 735,10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51 812,06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47 357,40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51 812,06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42 402,84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39 424,70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9 308,80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9 308,80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5 869,11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4 917,98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4 824,30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3 705,30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11 298,01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8 739,20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11 298,01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11 198,01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28 541,46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23 313,50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28 541,46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28 191,46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116 900,96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98 094,23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116 900,96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98 094,23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101 567,69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88 569,91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86 205,03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13 761,77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13 711,77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37 142,40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25 337,32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1714C9" w:rsidRPr="00420D56" w:rsidTr="00420D56">
        <w:trPr>
          <w:trHeight w:val="11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11 601,99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10 401,99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10 401,99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13 635,33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13 635,33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9 151,95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4 483,39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4 483,39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209 075,39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154 989,50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149 472,10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28 535,28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884,72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12 831,83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12 831,83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12 831,83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180 540,11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154 389,50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148 972,10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2 293,50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1 763,90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1 763,90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529,60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7 450,20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6 202,70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6 202,00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4 954,20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4 697,70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4 697,70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1 491,80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1 414,30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111 953,51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94 603,90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111 953,51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109 370,51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58 695,70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45 872,70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58 695,70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57 432,70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44 565,90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45 199,75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672,95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58 475,55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7 849,10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7 839,10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46 548,81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35 087,49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34 807,11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34 807,11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9 461,32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9 461,32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9 461,32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5 926,74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4 339,10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5 926,74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4 339,10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4 454,00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4 339,10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4 454,00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4 339,10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3 332,60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1 006,50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1 465,64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1 465,64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1 304,14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1 530 335,23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735 275,69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509 472,30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358 394,35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7 585,71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683 410,32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30 670,20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15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418 480,90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</w:tr>
      <w:tr w:rsidR="001714C9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380 472,30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1714C9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1714C9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499 540,51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483 291,15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59 879,48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16 712,57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9 054,07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9 054,07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9 054,07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Правительства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2 652,82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30 632,01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30 632,01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30 632,01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30 632,01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34 946,23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59 516,13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32 709,99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32 709,99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3 494,58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2 942,41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2 942,41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6 403,59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6 403,59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6 403,59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6 403,59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191 818,87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148 158,00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166 949,00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2 912,90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1 801,60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1 383,70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417,90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3 209,70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1 873,00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1 361,80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411,20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1 302,70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1 302,70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979,50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76 115,40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61 589,00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58 994,00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61 574,20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61 574,20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47 158,12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44 369,82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44 369,82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13 916,08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13 043,68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13 043,68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14 541,20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1 580,50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14 541,20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1 580,50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9 761,70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714C9" w:rsidRPr="00420D56" w:rsidTr="00420D56">
        <w:trPr>
          <w:trHeight w:val="13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1 845,70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1 297,30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391,90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22 044,00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18 902,60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18 701,60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19 674,70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19 674,70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15 065,55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14 163,05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14 163,05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4 549,15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4 277,25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4 277,25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261,30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261,30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1 642,49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9,30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363,81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8,20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4 120,30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2 706,10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4 120,30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2 706,10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2 706,10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27 456,00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47 537,00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47 537,00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47 537,00</w:t>
            </w:r>
          </w:p>
        </w:tc>
      </w:tr>
      <w:tr w:rsidR="001714C9" w:rsidRPr="00420D56" w:rsidTr="00420D56">
        <w:trPr>
          <w:trHeight w:val="9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2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45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4C9" w:rsidRPr="00420D56" w:rsidTr="00420D56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5 577 660,72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3 351 474,21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9" w:rsidRPr="00420D56" w:rsidRDefault="001714C9" w:rsidP="00420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0D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2 981 226,15</w:t>
            </w:r>
          </w:p>
        </w:tc>
      </w:tr>
    </w:tbl>
    <w:p w:rsidR="00292763" w:rsidRDefault="00292763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292763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56" w:rsidRDefault="00420D56" w:rsidP="00722834">
      <w:pPr>
        <w:spacing w:after="0" w:line="240" w:lineRule="auto"/>
      </w:pPr>
      <w:r>
        <w:separator/>
      </w:r>
    </w:p>
  </w:endnote>
  <w:endnote w:type="continuationSeparator" w:id="0">
    <w:p w:rsidR="00420D56" w:rsidRDefault="00420D56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56" w:rsidRDefault="00420D56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04B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56" w:rsidRDefault="00420D56" w:rsidP="00722834">
      <w:pPr>
        <w:spacing w:after="0" w:line="240" w:lineRule="auto"/>
      </w:pPr>
      <w:r>
        <w:separator/>
      </w:r>
    </w:p>
  </w:footnote>
  <w:footnote w:type="continuationSeparator" w:id="0">
    <w:p w:rsidR="00420D56" w:rsidRDefault="00420D56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29F1"/>
    <w:rsid w:val="0004333B"/>
    <w:rsid w:val="0004617F"/>
    <w:rsid w:val="000629A1"/>
    <w:rsid w:val="00071711"/>
    <w:rsid w:val="0007214C"/>
    <w:rsid w:val="00073DC9"/>
    <w:rsid w:val="00092863"/>
    <w:rsid w:val="000A02A5"/>
    <w:rsid w:val="000A5047"/>
    <w:rsid w:val="000B2769"/>
    <w:rsid w:val="000B68E4"/>
    <w:rsid w:val="000C1DA5"/>
    <w:rsid w:val="000C35A7"/>
    <w:rsid w:val="000C3A84"/>
    <w:rsid w:val="000E5B0A"/>
    <w:rsid w:val="000E5CA7"/>
    <w:rsid w:val="000F7232"/>
    <w:rsid w:val="00104A1B"/>
    <w:rsid w:val="001114B5"/>
    <w:rsid w:val="001123E7"/>
    <w:rsid w:val="00113B03"/>
    <w:rsid w:val="001201FE"/>
    <w:rsid w:val="001271EC"/>
    <w:rsid w:val="00151D5C"/>
    <w:rsid w:val="00153CAA"/>
    <w:rsid w:val="001714C9"/>
    <w:rsid w:val="001758FC"/>
    <w:rsid w:val="00181DA6"/>
    <w:rsid w:val="00191DA9"/>
    <w:rsid w:val="00194E37"/>
    <w:rsid w:val="001C7B6F"/>
    <w:rsid w:val="001D24DA"/>
    <w:rsid w:val="001D3B52"/>
    <w:rsid w:val="001E5FE1"/>
    <w:rsid w:val="001F14C0"/>
    <w:rsid w:val="001F2994"/>
    <w:rsid w:val="00210E8E"/>
    <w:rsid w:val="002255CA"/>
    <w:rsid w:val="002267A8"/>
    <w:rsid w:val="002402A0"/>
    <w:rsid w:val="002420CE"/>
    <w:rsid w:val="002633E5"/>
    <w:rsid w:val="00272EFA"/>
    <w:rsid w:val="0028125F"/>
    <w:rsid w:val="00292763"/>
    <w:rsid w:val="00294A07"/>
    <w:rsid w:val="002A3057"/>
    <w:rsid w:val="002A3E07"/>
    <w:rsid w:val="002A3E38"/>
    <w:rsid w:val="002B4822"/>
    <w:rsid w:val="002C1DF2"/>
    <w:rsid w:val="002C45BF"/>
    <w:rsid w:val="002C667E"/>
    <w:rsid w:val="002E26FC"/>
    <w:rsid w:val="002E2733"/>
    <w:rsid w:val="002E6EE9"/>
    <w:rsid w:val="003030DC"/>
    <w:rsid w:val="0032046D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D792D"/>
    <w:rsid w:val="003F1839"/>
    <w:rsid w:val="003F196A"/>
    <w:rsid w:val="0040323E"/>
    <w:rsid w:val="00420D56"/>
    <w:rsid w:val="00436461"/>
    <w:rsid w:val="004426B2"/>
    <w:rsid w:val="00455A4B"/>
    <w:rsid w:val="00464D1E"/>
    <w:rsid w:val="0047249A"/>
    <w:rsid w:val="00484770"/>
    <w:rsid w:val="004908AC"/>
    <w:rsid w:val="0049629B"/>
    <w:rsid w:val="004A5970"/>
    <w:rsid w:val="004B1B47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49C9"/>
    <w:rsid w:val="005A63E7"/>
    <w:rsid w:val="005C016C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B3F91"/>
    <w:rsid w:val="006E4CF0"/>
    <w:rsid w:val="006F3637"/>
    <w:rsid w:val="006F3AFF"/>
    <w:rsid w:val="006F3EAE"/>
    <w:rsid w:val="006F542D"/>
    <w:rsid w:val="006F6013"/>
    <w:rsid w:val="00700716"/>
    <w:rsid w:val="00720D49"/>
    <w:rsid w:val="00722834"/>
    <w:rsid w:val="00725057"/>
    <w:rsid w:val="00733E02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7F0B01"/>
    <w:rsid w:val="00800359"/>
    <w:rsid w:val="00804B8F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C0BA1"/>
    <w:rsid w:val="008C262C"/>
    <w:rsid w:val="008C4620"/>
    <w:rsid w:val="008E4977"/>
    <w:rsid w:val="008F3939"/>
    <w:rsid w:val="0090160A"/>
    <w:rsid w:val="00927B45"/>
    <w:rsid w:val="00931F62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9F42A6"/>
    <w:rsid w:val="00A04FD2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D359B"/>
    <w:rsid w:val="00AE6093"/>
    <w:rsid w:val="00AF02BD"/>
    <w:rsid w:val="00B07668"/>
    <w:rsid w:val="00B07B68"/>
    <w:rsid w:val="00B335CF"/>
    <w:rsid w:val="00B7330A"/>
    <w:rsid w:val="00B77EDC"/>
    <w:rsid w:val="00B83020"/>
    <w:rsid w:val="00B84EA2"/>
    <w:rsid w:val="00B878EE"/>
    <w:rsid w:val="00B97156"/>
    <w:rsid w:val="00BA4CE1"/>
    <w:rsid w:val="00BB34E1"/>
    <w:rsid w:val="00BB4EFB"/>
    <w:rsid w:val="00BB7D56"/>
    <w:rsid w:val="00BD6083"/>
    <w:rsid w:val="00BE3576"/>
    <w:rsid w:val="00C075D0"/>
    <w:rsid w:val="00C10EE8"/>
    <w:rsid w:val="00C26A08"/>
    <w:rsid w:val="00C33D12"/>
    <w:rsid w:val="00C476EA"/>
    <w:rsid w:val="00C60A14"/>
    <w:rsid w:val="00C95196"/>
    <w:rsid w:val="00CA10A7"/>
    <w:rsid w:val="00CB754F"/>
    <w:rsid w:val="00CC35AC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33489"/>
    <w:rsid w:val="00D34C4B"/>
    <w:rsid w:val="00D453EF"/>
    <w:rsid w:val="00D52D46"/>
    <w:rsid w:val="00D56007"/>
    <w:rsid w:val="00D56B34"/>
    <w:rsid w:val="00D6217A"/>
    <w:rsid w:val="00D77506"/>
    <w:rsid w:val="00D8537B"/>
    <w:rsid w:val="00D87D1F"/>
    <w:rsid w:val="00D96EEE"/>
    <w:rsid w:val="00DA6931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501"/>
    <w:rsid w:val="00E417C9"/>
    <w:rsid w:val="00E43FEC"/>
    <w:rsid w:val="00E61A15"/>
    <w:rsid w:val="00E720C1"/>
    <w:rsid w:val="00E75B9C"/>
    <w:rsid w:val="00E841A3"/>
    <w:rsid w:val="00EA4CBC"/>
    <w:rsid w:val="00EB5997"/>
    <w:rsid w:val="00ED0BBE"/>
    <w:rsid w:val="00EE02D1"/>
    <w:rsid w:val="00EE65AF"/>
    <w:rsid w:val="00F24793"/>
    <w:rsid w:val="00F453CE"/>
    <w:rsid w:val="00F50741"/>
    <w:rsid w:val="00F52802"/>
    <w:rsid w:val="00F95B22"/>
    <w:rsid w:val="00FA4052"/>
    <w:rsid w:val="00FA5D3C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8963-EAA4-4C01-99DC-9401B4A7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57</Pages>
  <Words>21794</Words>
  <Characters>124228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sovet</cp:lastModifiedBy>
  <cp:revision>177</cp:revision>
  <cp:lastPrinted>2024-07-23T08:59:00Z</cp:lastPrinted>
  <dcterms:created xsi:type="dcterms:W3CDTF">2013-12-27T04:56:00Z</dcterms:created>
  <dcterms:modified xsi:type="dcterms:W3CDTF">2024-07-23T09:06:00Z</dcterms:modified>
</cp:coreProperties>
</file>